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BD" w:rsidRPr="00062F00" w:rsidRDefault="00F737AB" w:rsidP="00327556">
      <w:pPr>
        <w:pStyle w:val="BodyText1"/>
        <w:spacing w:before="0" w:after="0"/>
        <w:ind w:right="-22"/>
      </w:pPr>
      <w:r>
        <w:rPr>
          <w:noProof/>
          <w:lang w:eastAsia="en-AU"/>
        </w:rPr>
        <w:drawing>
          <wp:inline distT="0" distB="0" distL="0" distR="0">
            <wp:extent cx="2213610" cy="114250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1158" t="16738" r="12981" b="4292"/>
                    <a:stretch>
                      <a:fillRect/>
                    </a:stretch>
                  </pic:blipFill>
                  <pic:spPr bwMode="auto">
                    <a:xfrm>
                      <a:off x="0" y="0"/>
                      <a:ext cx="2213610" cy="1142508"/>
                    </a:xfrm>
                    <a:prstGeom prst="rect">
                      <a:avLst/>
                    </a:prstGeom>
                    <a:noFill/>
                    <a:ln w="9525">
                      <a:noFill/>
                      <a:miter lim="800000"/>
                      <a:headEnd/>
                      <a:tailEnd/>
                    </a:ln>
                  </pic:spPr>
                </pic:pic>
              </a:graphicData>
            </a:graphic>
          </wp:inline>
        </w:drawing>
      </w:r>
    </w:p>
    <w:p w:rsidR="002D5091" w:rsidRDefault="004A1106" w:rsidP="002D5091">
      <w:pPr>
        <w:pStyle w:val="PolicyHeading1-Accessible"/>
      </w:pPr>
      <w:r>
        <w:t>TAKE</w:t>
      </w:r>
      <w:r w:rsidR="00F737AB">
        <w:t>DOWN REQUESTS</w:t>
      </w:r>
    </w:p>
    <w:p w:rsidR="00FC6D75" w:rsidRDefault="002D5091" w:rsidP="00BA4D82">
      <w:pPr>
        <w:pStyle w:val="Policy-BodyText"/>
        <w:numPr>
          <w:ilvl w:val="0"/>
          <w:numId w:val="0"/>
        </w:numPr>
        <w:spacing w:line="240" w:lineRule="auto"/>
        <w:rPr>
          <w:rStyle w:val="ExplanatoryTextChar"/>
          <w:rFonts w:eastAsiaTheme="minorEastAsia"/>
          <w:b w:val="0"/>
          <w:sz w:val="24"/>
          <w:szCs w:val="24"/>
        </w:rPr>
      </w:pPr>
      <w:r w:rsidRPr="00E222AC">
        <w:rPr>
          <w:rStyle w:val="ExplanatoryTextChar"/>
          <w:rFonts w:eastAsiaTheme="minorEastAsia"/>
          <w:b w:val="0"/>
          <w:sz w:val="24"/>
          <w:szCs w:val="24"/>
        </w:rPr>
        <w:t>Published:</w:t>
      </w:r>
      <w:r w:rsidR="00E222AC" w:rsidRPr="00E222AC">
        <w:rPr>
          <w:rStyle w:val="ExplanatoryTextChar"/>
          <w:rFonts w:eastAsiaTheme="majorEastAsia"/>
          <w:b w:val="0"/>
          <w:sz w:val="24"/>
          <w:szCs w:val="24"/>
        </w:rPr>
        <w:t xml:space="preserve"> </w:t>
      </w:r>
      <w:r w:rsidR="00B1581D">
        <w:rPr>
          <w:rStyle w:val="ExplanatoryTextChar"/>
          <w:rFonts w:eastAsiaTheme="minorEastAsia"/>
          <w:b w:val="0"/>
          <w:sz w:val="24"/>
          <w:szCs w:val="24"/>
        </w:rPr>
        <w:t>April</w:t>
      </w:r>
      <w:r w:rsidR="00F737AB">
        <w:rPr>
          <w:rStyle w:val="ExplanatoryTextChar"/>
          <w:rFonts w:eastAsiaTheme="minorEastAsia"/>
          <w:b w:val="0"/>
          <w:sz w:val="24"/>
          <w:szCs w:val="24"/>
        </w:rPr>
        <w:t xml:space="preserve"> </w:t>
      </w:r>
      <w:r w:rsidR="00F16220">
        <w:rPr>
          <w:rStyle w:val="ExplanatoryTextChar"/>
          <w:rFonts w:eastAsiaTheme="minorEastAsia"/>
          <w:b w:val="0"/>
          <w:sz w:val="24"/>
          <w:szCs w:val="24"/>
        </w:rPr>
        <w:t>2016</w:t>
      </w:r>
    </w:p>
    <w:p w:rsidR="000A143E" w:rsidRPr="00E222AC" w:rsidRDefault="005C44BD" w:rsidP="00E222AC">
      <w:pPr>
        <w:pStyle w:val="PolicyHeading2-Accessible"/>
      </w:pPr>
      <w:r w:rsidRPr="00E222AC">
        <w:t xml:space="preserve">What is this </w:t>
      </w:r>
      <w:r w:rsidR="002021D1" w:rsidRPr="00E222AC">
        <w:t xml:space="preserve">policy </w:t>
      </w:r>
      <w:r w:rsidRPr="00E222AC">
        <w:t>about?</w:t>
      </w:r>
    </w:p>
    <w:p w:rsidR="00F737AB" w:rsidRPr="00F737AB" w:rsidRDefault="00C70650" w:rsidP="00F737AB">
      <w:pPr>
        <w:pStyle w:val="Policy-BodyText"/>
        <w:spacing w:line="240" w:lineRule="auto"/>
        <w:ind w:left="567" w:hanging="567"/>
      </w:pPr>
      <w:r>
        <w:t xml:space="preserve">The </w:t>
      </w:r>
      <w:r w:rsidR="00F737AB">
        <w:t>ACT Heritage Library</w:t>
      </w:r>
      <w:r w:rsidR="00F737AB" w:rsidRPr="00F737AB">
        <w:t>, as a member of National and State Libraries Australasia (NSLA), has endorsed a position statement on public requests to take down access to content from our</w:t>
      </w:r>
      <w:r w:rsidR="001818A5">
        <w:t xml:space="preserve"> website and/or</w:t>
      </w:r>
      <w:r w:rsidR="00F737AB" w:rsidRPr="00F737AB">
        <w:t xml:space="preserve"> collections.</w:t>
      </w:r>
      <w:r w:rsidR="002C3031">
        <w:t xml:space="preserve"> This policy addresses how the ACT Heritage Library will respond to takedown requests.</w:t>
      </w:r>
    </w:p>
    <w:p w:rsidR="00377794" w:rsidRDefault="00377794" w:rsidP="00835401">
      <w:pPr>
        <w:pStyle w:val="PolicyHeading2-Accessible"/>
      </w:pPr>
      <w:r>
        <w:t>Policy Statement</w:t>
      </w:r>
    </w:p>
    <w:p w:rsidR="00377794" w:rsidRDefault="00377794" w:rsidP="00377794">
      <w:pPr>
        <w:pStyle w:val="Policy-BodyText"/>
        <w:spacing w:line="240" w:lineRule="auto"/>
        <w:ind w:left="567" w:hanging="567"/>
      </w:pPr>
      <w:r>
        <w:t>As a member of National and State Libraries Australasia (NSLA), The ACT Heritage Library has endorsed a position statement on public requests to takedown content from our website and/or collections. This policy outlines the provisions of the position statement and the Library’s measures to implement relevant procedures.</w:t>
      </w:r>
    </w:p>
    <w:p w:rsidR="00B82D9D" w:rsidRDefault="00B82D9D" w:rsidP="00B82D9D">
      <w:pPr>
        <w:pStyle w:val="Policy-BodyText"/>
        <w:spacing w:line="240" w:lineRule="auto"/>
        <w:ind w:left="567" w:hanging="567"/>
      </w:pPr>
      <w:r>
        <w:t xml:space="preserve">The </w:t>
      </w:r>
      <w:r w:rsidRPr="00C70650">
        <w:t xml:space="preserve">NSLA </w:t>
      </w:r>
      <w:r>
        <w:t>Takedown Position S</w:t>
      </w:r>
      <w:r w:rsidRPr="00C70650">
        <w:t xml:space="preserve">tatement </w:t>
      </w:r>
      <w:r>
        <w:t xml:space="preserve">is </w:t>
      </w:r>
      <w:r w:rsidRPr="00C70650">
        <w:t>also available</w:t>
      </w:r>
      <w:r>
        <w:t xml:space="preserve"> at</w:t>
      </w:r>
      <w:r w:rsidRPr="00C70650">
        <w:t>:</w:t>
      </w:r>
      <w:r>
        <w:t xml:space="preserve"> </w:t>
      </w:r>
      <w:hyperlink r:id="rId9" w:history="1">
        <w:r w:rsidRPr="005B5BFB">
          <w:rPr>
            <w:rStyle w:val="Hyperlink"/>
            <w:b/>
            <w:bCs/>
          </w:rPr>
          <w:t>http://www.nsla.org.au/publication/position-statement-takedown</w:t>
        </w:r>
      </w:hyperlink>
    </w:p>
    <w:p w:rsidR="00377794" w:rsidRPr="00377794" w:rsidRDefault="00377794" w:rsidP="00377794">
      <w:pPr>
        <w:pStyle w:val="Policy-BodyText"/>
        <w:spacing w:line="240" w:lineRule="auto"/>
        <w:ind w:left="567" w:hanging="567"/>
      </w:pPr>
      <w:r>
        <w:t>The following text will be added to the ACT Heritage Lib</w:t>
      </w:r>
      <w:r w:rsidR="004A1106">
        <w:t>r</w:t>
      </w:r>
      <w:r>
        <w:t>ary website outlining our takedown position and procedures for dealing with takedown requests:</w:t>
      </w:r>
    </w:p>
    <w:p w:rsidR="005C44BD" w:rsidRPr="00835401" w:rsidRDefault="005C44BD" w:rsidP="00377794">
      <w:pPr>
        <w:pStyle w:val="PolicyHeading2-Accessible"/>
        <w:numPr>
          <w:ilvl w:val="0"/>
          <w:numId w:val="0"/>
        </w:numPr>
        <w:ind w:firstLine="567"/>
      </w:pPr>
      <w:r w:rsidRPr="00835401">
        <w:t>Po</w:t>
      </w:r>
      <w:r w:rsidR="00F737AB">
        <w:t>sition</w:t>
      </w:r>
      <w:r w:rsidRPr="00835401">
        <w:t xml:space="preserve"> Statement</w:t>
      </w:r>
      <w:r w:rsidR="004A1106">
        <w:t xml:space="preserve"> on take</w:t>
      </w:r>
      <w:r w:rsidR="00F737AB">
        <w:t>down requests</w:t>
      </w:r>
    </w:p>
    <w:p w:rsidR="00F737AB" w:rsidRDefault="00F737AB" w:rsidP="00377794">
      <w:pPr>
        <w:pStyle w:val="Policy-BodyText"/>
        <w:numPr>
          <w:ilvl w:val="0"/>
          <w:numId w:val="0"/>
        </w:numPr>
        <w:ind w:left="567"/>
      </w:pPr>
      <w:r>
        <w:t xml:space="preserve">National and State Libraries Australasia (NSLA) is committed to the principles of freedom of expression and universal access to information and knowledge. These principles are fundamental to the library profession and recognised as pivotal components of our democratic traditions; represent a major driving force in the creation of new ideas and innovation; and support cultural understanding and sustainable socio-economic </w:t>
      </w:r>
      <w:r w:rsidR="00377794">
        <w:t>d</w:t>
      </w:r>
      <w:r>
        <w:t>evelopment.</w:t>
      </w:r>
    </w:p>
    <w:p w:rsidR="00377794" w:rsidRDefault="00377794" w:rsidP="00377794">
      <w:pPr>
        <w:pStyle w:val="Policy-BodyText"/>
        <w:numPr>
          <w:ilvl w:val="0"/>
          <w:numId w:val="0"/>
        </w:numPr>
        <w:ind w:left="567"/>
      </w:pPr>
    </w:p>
    <w:p w:rsidR="00F737AB" w:rsidRDefault="00F737AB" w:rsidP="00377794">
      <w:pPr>
        <w:pStyle w:val="Policy-BodyText"/>
        <w:numPr>
          <w:ilvl w:val="0"/>
          <w:numId w:val="0"/>
        </w:numPr>
        <w:ind w:left="567"/>
      </w:pPr>
      <w:r>
        <w:t xml:space="preserve">Responding to the ubiquity of digital technologies and enhanced community expectations for ‘anywhere, anytime’ access to information libraries, like other collecting institutions around the world, are continuing to build and deliver online collections, providing the greatest possible access to local and global communities. </w:t>
      </w:r>
    </w:p>
    <w:p w:rsidR="00F737AB" w:rsidRDefault="00F737AB" w:rsidP="00F737AB">
      <w:pPr>
        <w:pStyle w:val="Policy-BodyText"/>
        <w:numPr>
          <w:ilvl w:val="0"/>
          <w:numId w:val="0"/>
        </w:numPr>
        <w:ind w:left="567"/>
      </w:pPr>
    </w:p>
    <w:p w:rsidR="00F737AB" w:rsidRDefault="00F737AB" w:rsidP="00377794">
      <w:pPr>
        <w:pStyle w:val="Policy-BodyText"/>
        <w:numPr>
          <w:ilvl w:val="0"/>
          <w:numId w:val="0"/>
        </w:numPr>
        <w:ind w:left="567"/>
      </w:pPr>
      <w:r>
        <w:t>NSLA libraries have mandated roles to collect and preserve cultural heritage, provide open and equitable access to information, and support the growth of knowledge and ideas. Given these responsibilities, materials provided online will be taken down (or have other access restrictions imposed) only in extraordinary circumstances.</w:t>
      </w:r>
    </w:p>
    <w:p w:rsidR="00F737AB" w:rsidRDefault="00F737AB" w:rsidP="00F737AB">
      <w:pPr>
        <w:pStyle w:val="Policy-BodyText"/>
        <w:numPr>
          <w:ilvl w:val="0"/>
          <w:numId w:val="0"/>
        </w:numPr>
        <w:ind w:left="567"/>
      </w:pPr>
    </w:p>
    <w:p w:rsidR="00F737AB" w:rsidRDefault="00F737AB" w:rsidP="00377794">
      <w:pPr>
        <w:pStyle w:val="Policy-BodyText"/>
        <w:numPr>
          <w:ilvl w:val="0"/>
          <w:numId w:val="0"/>
        </w:numPr>
        <w:ind w:left="567"/>
      </w:pPr>
      <w:r>
        <w:t xml:space="preserve">In making collections available online, NSLA libraries act to respect jurisdictional legal considerations. However NSLA recognises that despite best efforts there may be occasions when material made available online is considered to breach copyright or other relevant law or contains information that is culturally sensitive. As a means of promoting a consistent </w:t>
      </w:r>
      <w:r>
        <w:lastRenderedPageBreak/>
        <w:t>response to takedown requests, NSLA libraries agree to take into account the following general principles:</w:t>
      </w:r>
    </w:p>
    <w:p w:rsidR="00F737AB" w:rsidRDefault="00F737AB" w:rsidP="00F737AB">
      <w:pPr>
        <w:pStyle w:val="Policy-BodyText"/>
        <w:numPr>
          <w:ilvl w:val="0"/>
          <w:numId w:val="44"/>
        </w:numPr>
      </w:pPr>
      <w:r>
        <w:t>The broadest possible online access to collection materials will be provided.</w:t>
      </w:r>
    </w:p>
    <w:p w:rsidR="00F737AB" w:rsidRDefault="00F737AB" w:rsidP="00F737AB">
      <w:pPr>
        <w:pStyle w:val="Policy-BodyText"/>
        <w:numPr>
          <w:ilvl w:val="0"/>
          <w:numId w:val="44"/>
        </w:numPr>
      </w:pPr>
      <w:r>
        <w:t>Permanent access restrictions, deindexing or takedown will be considered as an exceptional response.</w:t>
      </w:r>
    </w:p>
    <w:p w:rsidR="00F737AB" w:rsidRDefault="00F737AB" w:rsidP="00F737AB">
      <w:pPr>
        <w:pStyle w:val="Policy-BodyText"/>
        <w:numPr>
          <w:ilvl w:val="0"/>
          <w:numId w:val="44"/>
        </w:numPr>
      </w:pPr>
      <w:r>
        <w:t>Requests for access restrictions, deindexing or takedown will take into account the relationship of the requestor to the material.</w:t>
      </w:r>
    </w:p>
    <w:p w:rsidR="00F737AB" w:rsidRDefault="00F737AB" w:rsidP="00F737AB">
      <w:pPr>
        <w:pStyle w:val="Policy-BodyText"/>
        <w:numPr>
          <w:ilvl w:val="0"/>
          <w:numId w:val="44"/>
        </w:numPr>
      </w:pPr>
      <w:r>
        <w:t>Requests for access restrictions, deindexing or takedown will take into account specific jurisdictional legislation and related exemptions.</w:t>
      </w:r>
    </w:p>
    <w:p w:rsidR="00377794" w:rsidRDefault="00F737AB" w:rsidP="00377794">
      <w:pPr>
        <w:pStyle w:val="Policy-BodyText"/>
        <w:numPr>
          <w:ilvl w:val="0"/>
          <w:numId w:val="44"/>
        </w:numPr>
      </w:pPr>
      <w:r>
        <w:t>Access restrictions or takedown of material made available online should, as far as practical, be openly acknowledged with a statement noting the takedown.</w:t>
      </w:r>
    </w:p>
    <w:p w:rsidR="00C70650" w:rsidRDefault="00F737AB" w:rsidP="00377794">
      <w:pPr>
        <w:pStyle w:val="Policy-BodyText"/>
        <w:numPr>
          <w:ilvl w:val="0"/>
          <w:numId w:val="44"/>
        </w:numPr>
      </w:pPr>
      <w:r>
        <w:t>As circumstances change, or after a period of time, online material that has been taken down, restricted or deindexed should be reviewed and may be reinstated.</w:t>
      </w:r>
    </w:p>
    <w:p w:rsidR="005C44BD" w:rsidRPr="00835401" w:rsidRDefault="00C70650" w:rsidP="00377794">
      <w:pPr>
        <w:pStyle w:val="PolicyHeading2-Accessible"/>
        <w:numPr>
          <w:ilvl w:val="0"/>
          <w:numId w:val="0"/>
        </w:numPr>
        <w:ind w:firstLine="567"/>
      </w:pPr>
      <w:r>
        <w:t>Making a takedown request</w:t>
      </w:r>
    </w:p>
    <w:p w:rsidR="00C70650" w:rsidRPr="00C70650" w:rsidRDefault="00C70650" w:rsidP="00377794">
      <w:pPr>
        <w:pStyle w:val="Policy-BodyText"/>
        <w:numPr>
          <w:ilvl w:val="0"/>
          <w:numId w:val="0"/>
        </w:numPr>
        <w:spacing w:line="240" w:lineRule="auto"/>
        <w:ind w:left="567"/>
      </w:pPr>
      <w:r w:rsidRPr="00C70650">
        <w:t>If you are concerned that you have found material in our catalogue or on our website which you have not given permission to be made available, and which contravenes privacy laws, is defamatory, or is in breach of copyright law, please contact us in writing stating the following:</w:t>
      </w:r>
    </w:p>
    <w:p w:rsidR="00C70650" w:rsidRPr="00C70650" w:rsidRDefault="00C70650" w:rsidP="001818A5">
      <w:pPr>
        <w:pStyle w:val="PolicyHeading2-Accessible"/>
        <w:numPr>
          <w:ilvl w:val="0"/>
          <w:numId w:val="45"/>
        </w:numPr>
        <w:rPr>
          <w:rFonts w:eastAsiaTheme="minorEastAsia" w:cstheme="minorBidi"/>
          <w:b w:val="0"/>
          <w:bCs w:val="0"/>
          <w:szCs w:val="24"/>
        </w:rPr>
      </w:pPr>
      <w:r w:rsidRPr="00C70650">
        <w:rPr>
          <w:rFonts w:eastAsiaTheme="minorEastAsia" w:cstheme="minorBidi"/>
          <w:b w:val="0"/>
          <w:bCs w:val="0"/>
          <w:szCs w:val="24"/>
        </w:rPr>
        <w:t>Your contact details</w:t>
      </w:r>
    </w:p>
    <w:p w:rsidR="00C70650" w:rsidRDefault="00C70650" w:rsidP="00C70650">
      <w:pPr>
        <w:pStyle w:val="PolicyHeading2-Accessible"/>
        <w:numPr>
          <w:ilvl w:val="0"/>
          <w:numId w:val="45"/>
        </w:numPr>
        <w:rPr>
          <w:rFonts w:eastAsiaTheme="minorEastAsia" w:cstheme="minorBidi"/>
          <w:b w:val="0"/>
          <w:bCs w:val="0"/>
          <w:szCs w:val="24"/>
        </w:rPr>
      </w:pPr>
      <w:r w:rsidRPr="00C70650">
        <w:rPr>
          <w:rFonts w:eastAsiaTheme="minorEastAsia" w:cstheme="minorBidi"/>
          <w:b w:val="0"/>
          <w:bCs w:val="0"/>
          <w:szCs w:val="24"/>
        </w:rPr>
        <w:t>Full descript</w:t>
      </w:r>
      <w:r>
        <w:rPr>
          <w:rFonts w:eastAsiaTheme="minorEastAsia" w:cstheme="minorBidi"/>
          <w:b w:val="0"/>
          <w:bCs w:val="0"/>
          <w:szCs w:val="24"/>
        </w:rPr>
        <w:t>ion and details of the material</w:t>
      </w:r>
    </w:p>
    <w:p w:rsidR="00C70650" w:rsidRDefault="00C70650" w:rsidP="00C70650">
      <w:pPr>
        <w:pStyle w:val="PolicyHeading2-Accessible"/>
        <w:numPr>
          <w:ilvl w:val="0"/>
          <w:numId w:val="45"/>
        </w:numPr>
        <w:rPr>
          <w:rFonts w:eastAsiaTheme="minorEastAsia" w:cstheme="minorBidi"/>
          <w:b w:val="0"/>
          <w:bCs w:val="0"/>
          <w:szCs w:val="24"/>
        </w:rPr>
      </w:pPr>
      <w:r w:rsidRPr="00C70650">
        <w:rPr>
          <w:rFonts w:eastAsiaTheme="minorEastAsia" w:cstheme="minorBidi"/>
          <w:b w:val="0"/>
          <w:bCs w:val="0"/>
          <w:szCs w:val="24"/>
        </w:rPr>
        <w:t>The reason for your request, including, but not limited to copyright law, privacy laws, data protection, defamation etc.</w:t>
      </w:r>
    </w:p>
    <w:p w:rsidR="00377794" w:rsidRPr="00377794" w:rsidRDefault="00377794" w:rsidP="00377794">
      <w:pPr>
        <w:pStyle w:val="Policy-BodyText"/>
        <w:numPr>
          <w:ilvl w:val="0"/>
          <w:numId w:val="0"/>
        </w:numPr>
        <w:ind w:left="567"/>
      </w:pPr>
    </w:p>
    <w:p w:rsidR="00C70650" w:rsidRDefault="00C70650" w:rsidP="00377794">
      <w:pPr>
        <w:pStyle w:val="Policy-BodyText"/>
        <w:numPr>
          <w:ilvl w:val="0"/>
          <w:numId w:val="0"/>
        </w:numPr>
        <w:ind w:firstLine="567"/>
      </w:pPr>
      <w:r w:rsidRPr="00C70650">
        <w:t>Your request should be sent to:</w:t>
      </w:r>
    </w:p>
    <w:p w:rsidR="00377794" w:rsidRPr="00C70650" w:rsidRDefault="00377794" w:rsidP="00377794">
      <w:pPr>
        <w:pStyle w:val="Policy-BodyText"/>
        <w:numPr>
          <w:ilvl w:val="0"/>
          <w:numId w:val="0"/>
        </w:numPr>
        <w:ind w:firstLine="567"/>
      </w:pPr>
    </w:p>
    <w:p w:rsidR="00C70650" w:rsidRDefault="00C70650" w:rsidP="001818A5">
      <w:pPr>
        <w:pStyle w:val="PolicyHeading2-Accessible"/>
        <w:numPr>
          <w:ilvl w:val="0"/>
          <w:numId w:val="0"/>
        </w:numPr>
        <w:spacing w:before="0"/>
        <w:ind w:firstLine="720"/>
        <w:rPr>
          <w:rFonts w:eastAsiaTheme="minorEastAsia" w:cstheme="minorBidi"/>
          <w:b w:val="0"/>
          <w:bCs w:val="0"/>
          <w:szCs w:val="24"/>
        </w:rPr>
      </w:pPr>
      <w:r>
        <w:rPr>
          <w:rFonts w:eastAsiaTheme="minorEastAsia" w:cstheme="minorBidi"/>
          <w:b w:val="0"/>
          <w:bCs w:val="0"/>
          <w:szCs w:val="24"/>
        </w:rPr>
        <w:t>ACT Heritage Library</w:t>
      </w:r>
    </w:p>
    <w:p w:rsidR="00C70650" w:rsidRDefault="00C70650" w:rsidP="001818A5">
      <w:pPr>
        <w:pStyle w:val="PolicyHeading2-Accessible"/>
        <w:numPr>
          <w:ilvl w:val="0"/>
          <w:numId w:val="0"/>
        </w:numPr>
        <w:spacing w:before="0"/>
        <w:ind w:firstLine="720"/>
        <w:rPr>
          <w:rFonts w:eastAsiaTheme="minorEastAsia" w:cstheme="minorBidi"/>
          <w:b w:val="0"/>
          <w:bCs w:val="0"/>
          <w:szCs w:val="24"/>
        </w:rPr>
      </w:pPr>
      <w:r>
        <w:rPr>
          <w:rFonts w:eastAsiaTheme="minorEastAsia" w:cstheme="minorBidi"/>
          <w:b w:val="0"/>
          <w:bCs w:val="0"/>
          <w:szCs w:val="24"/>
        </w:rPr>
        <w:t>G</w:t>
      </w:r>
      <w:r w:rsidRPr="00C70650">
        <w:rPr>
          <w:rFonts w:eastAsiaTheme="minorEastAsia" w:cstheme="minorBidi"/>
          <w:b w:val="0"/>
          <w:bCs w:val="0"/>
          <w:szCs w:val="24"/>
        </w:rPr>
        <w:t xml:space="preserve">PO Box </w:t>
      </w:r>
      <w:r>
        <w:rPr>
          <w:rFonts w:eastAsiaTheme="minorEastAsia" w:cstheme="minorBidi"/>
          <w:b w:val="0"/>
          <w:bCs w:val="0"/>
          <w:szCs w:val="24"/>
        </w:rPr>
        <w:t>158</w:t>
      </w:r>
    </w:p>
    <w:p w:rsidR="00C70650" w:rsidRDefault="00C70650" w:rsidP="001818A5">
      <w:pPr>
        <w:pStyle w:val="PolicyHeading2-Accessible"/>
        <w:numPr>
          <w:ilvl w:val="0"/>
          <w:numId w:val="0"/>
        </w:numPr>
        <w:spacing w:before="0"/>
        <w:ind w:firstLine="720"/>
        <w:rPr>
          <w:rFonts w:eastAsiaTheme="minorEastAsia" w:cstheme="minorBidi"/>
          <w:b w:val="0"/>
          <w:bCs w:val="0"/>
          <w:szCs w:val="24"/>
        </w:rPr>
      </w:pPr>
      <w:r>
        <w:rPr>
          <w:rFonts w:eastAsiaTheme="minorEastAsia" w:cstheme="minorBidi"/>
          <w:b w:val="0"/>
          <w:bCs w:val="0"/>
          <w:szCs w:val="24"/>
        </w:rPr>
        <w:t>Canberra</w:t>
      </w:r>
      <w:r w:rsidRPr="00C70650">
        <w:rPr>
          <w:rFonts w:eastAsiaTheme="minorEastAsia" w:cstheme="minorBidi"/>
          <w:b w:val="0"/>
          <w:bCs w:val="0"/>
          <w:szCs w:val="24"/>
        </w:rPr>
        <w:t xml:space="preserve"> </w:t>
      </w:r>
      <w:r>
        <w:rPr>
          <w:rFonts w:eastAsiaTheme="minorEastAsia" w:cstheme="minorBidi"/>
          <w:b w:val="0"/>
          <w:bCs w:val="0"/>
          <w:szCs w:val="24"/>
        </w:rPr>
        <w:t>ACT 26</w:t>
      </w:r>
      <w:r w:rsidRPr="00C70650">
        <w:rPr>
          <w:rFonts w:eastAsiaTheme="minorEastAsia" w:cstheme="minorBidi"/>
          <w:b w:val="0"/>
          <w:bCs w:val="0"/>
          <w:szCs w:val="24"/>
        </w:rPr>
        <w:t>01</w:t>
      </w:r>
    </w:p>
    <w:p w:rsidR="00C70650" w:rsidRPr="00C70650" w:rsidRDefault="00C70650" w:rsidP="001818A5">
      <w:pPr>
        <w:pStyle w:val="PolicyHeading2-Accessible"/>
        <w:numPr>
          <w:ilvl w:val="0"/>
          <w:numId w:val="0"/>
        </w:numPr>
        <w:spacing w:before="0"/>
        <w:ind w:firstLine="720"/>
        <w:rPr>
          <w:rFonts w:eastAsiaTheme="minorEastAsia" w:cstheme="minorBidi"/>
          <w:b w:val="0"/>
          <w:bCs w:val="0"/>
          <w:szCs w:val="24"/>
        </w:rPr>
      </w:pPr>
      <w:r w:rsidRPr="00C70650">
        <w:rPr>
          <w:rFonts w:eastAsiaTheme="minorEastAsia" w:cstheme="minorBidi"/>
          <w:b w:val="0"/>
          <w:bCs w:val="0"/>
          <w:szCs w:val="24"/>
        </w:rPr>
        <w:t>AUSTRALIA</w:t>
      </w:r>
    </w:p>
    <w:p w:rsidR="00C70650" w:rsidRPr="00C70650" w:rsidRDefault="004A1106" w:rsidP="001818A5">
      <w:pPr>
        <w:pStyle w:val="PolicyHeading2-Accessible"/>
        <w:numPr>
          <w:ilvl w:val="0"/>
          <w:numId w:val="0"/>
        </w:numPr>
        <w:ind w:left="720" w:firstLine="720"/>
        <w:rPr>
          <w:rFonts w:eastAsiaTheme="minorEastAsia" w:cstheme="minorBidi"/>
          <w:b w:val="0"/>
          <w:bCs w:val="0"/>
          <w:szCs w:val="24"/>
        </w:rPr>
      </w:pPr>
      <w:r w:rsidRPr="00C70650">
        <w:rPr>
          <w:rFonts w:eastAsiaTheme="minorEastAsia" w:cstheme="minorBidi"/>
          <w:b w:val="0"/>
          <w:bCs w:val="0"/>
          <w:szCs w:val="24"/>
        </w:rPr>
        <w:t>Or</w:t>
      </w:r>
    </w:p>
    <w:p w:rsidR="00C70650" w:rsidRDefault="00776A88" w:rsidP="001818A5">
      <w:pPr>
        <w:pStyle w:val="PolicyHeading2-Accessible"/>
        <w:numPr>
          <w:ilvl w:val="0"/>
          <w:numId w:val="0"/>
        </w:numPr>
        <w:ind w:firstLine="720"/>
        <w:rPr>
          <w:rFonts w:eastAsiaTheme="minorEastAsia" w:cstheme="minorBidi"/>
          <w:b w:val="0"/>
          <w:bCs w:val="0"/>
          <w:szCs w:val="24"/>
        </w:rPr>
      </w:pPr>
      <w:hyperlink r:id="rId10" w:history="1">
        <w:r w:rsidR="00C70650" w:rsidRPr="005B5BFB">
          <w:rPr>
            <w:rStyle w:val="Hyperlink"/>
            <w:rFonts w:eastAsiaTheme="minorEastAsia" w:cstheme="minorBidi"/>
            <w:b w:val="0"/>
            <w:bCs w:val="0"/>
            <w:szCs w:val="24"/>
          </w:rPr>
          <w:t>act.heritage.library@act.gov.au</w:t>
        </w:r>
      </w:hyperlink>
      <w:r w:rsidR="00C70650">
        <w:rPr>
          <w:rFonts w:eastAsiaTheme="minorEastAsia" w:cstheme="minorBidi"/>
          <w:b w:val="0"/>
          <w:bCs w:val="0"/>
          <w:szCs w:val="24"/>
        </w:rPr>
        <w:t xml:space="preserve"> </w:t>
      </w:r>
    </w:p>
    <w:p w:rsidR="001818A5" w:rsidRPr="00835401" w:rsidRDefault="001818A5" w:rsidP="00377794">
      <w:pPr>
        <w:pStyle w:val="PolicyHeading2-Accessible"/>
        <w:numPr>
          <w:ilvl w:val="0"/>
          <w:numId w:val="0"/>
        </w:numPr>
        <w:ind w:firstLine="567"/>
      </w:pPr>
      <w:r>
        <w:t>Responding to a takedown request</w:t>
      </w:r>
    </w:p>
    <w:p w:rsidR="00C70650" w:rsidRDefault="00C70650" w:rsidP="00377794">
      <w:pPr>
        <w:pStyle w:val="Policy-BodyText"/>
        <w:numPr>
          <w:ilvl w:val="0"/>
          <w:numId w:val="0"/>
        </w:numPr>
        <w:spacing w:line="240" w:lineRule="auto"/>
        <w:ind w:left="567"/>
      </w:pPr>
      <w:r>
        <w:rPr>
          <w:bCs/>
        </w:rPr>
        <w:t xml:space="preserve">The </w:t>
      </w:r>
      <w:r w:rsidRPr="00C70650">
        <w:rPr>
          <w:bCs/>
        </w:rPr>
        <w:t>ACT Heritage</w:t>
      </w:r>
      <w:r>
        <w:rPr>
          <w:b/>
          <w:bCs/>
        </w:rPr>
        <w:t xml:space="preserve"> </w:t>
      </w:r>
      <w:r w:rsidRPr="00C70650">
        <w:t>Library will acknowledge your takedown request in writing and will make an initial assessment of the request.</w:t>
      </w:r>
      <w:r w:rsidR="001818A5">
        <w:t xml:space="preserve"> </w:t>
      </w:r>
      <w:r w:rsidRPr="00C70650">
        <w:t>The material may be temporarily removed from the Librar</w:t>
      </w:r>
      <w:r>
        <w:t>ies ACT</w:t>
      </w:r>
      <w:r w:rsidRPr="00C70650">
        <w:t xml:space="preserve"> catalogue or website until a final decision is agreed upon. Physical material may also be removed from the shelves.</w:t>
      </w:r>
    </w:p>
    <w:p w:rsidR="00140973" w:rsidRPr="00C70650" w:rsidRDefault="00140973" w:rsidP="00377794">
      <w:pPr>
        <w:pStyle w:val="Policy-BodyText"/>
        <w:numPr>
          <w:ilvl w:val="0"/>
          <w:numId w:val="0"/>
        </w:numPr>
        <w:spacing w:line="240" w:lineRule="auto"/>
        <w:ind w:left="567"/>
      </w:pPr>
    </w:p>
    <w:p w:rsidR="00C70650" w:rsidRPr="00C70650" w:rsidRDefault="00C70650" w:rsidP="00377794">
      <w:pPr>
        <w:pStyle w:val="Policy-BodyText"/>
        <w:numPr>
          <w:ilvl w:val="0"/>
          <w:numId w:val="0"/>
        </w:numPr>
        <w:spacing w:line="240" w:lineRule="auto"/>
        <w:ind w:left="567"/>
      </w:pPr>
      <w:r>
        <w:t>The ACT Heritage Library</w:t>
      </w:r>
      <w:r w:rsidRPr="00C70650">
        <w:t xml:space="preserve"> will make all possible efforts to resolve takedown requests quickly and to the satisfaction of both parties</w:t>
      </w:r>
      <w:r w:rsidR="003B4FED">
        <w:t>;</w:t>
      </w:r>
      <w:r w:rsidRPr="00C70650">
        <w:t xml:space="preserve"> </w:t>
      </w:r>
      <w:r w:rsidR="003B4FED">
        <w:t xml:space="preserve">however, the decision will ultimately be at the discretion of the library, </w:t>
      </w:r>
      <w:r w:rsidRPr="00C70650">
        <w:t>with the following possible outcomes</w:t>
      </w:r>
      <w:r w:rsidR="003B4FED">
        <w:t>:</w:t>
      </w:r>
    </w:p>
    <w:p w:rsidR="00C70650" w:rsidRDefault="00C70650" w:rsidP="00C70650">
      <w:pPr>
        <w:pStyle w:val="PolicyHeading2-Accessible"/>
        <w:numPr>
          <w:ilvl w:val="0"/>
          <w:numId w:val="46"/>
        </w:numPr>
        <w:rPr>
          <w:rFonts w:eastAsiaTheme="minorEastAsia" w:cstheme="minorBidi"/>
          <w:b w:val="0"/>
          <w:bCs w:val="0"/>
          <w:szCs w:val="24"/>
        </w:rPr>
      </w:pPr>
      <w:r w:rsidRPr="00C70650">
        <w:rPr>
          <w:rFonts w:eastAsiaTheme="minorEastAsia" w:cstheme="minorBidi"/>
          <w:b w:val="0"/>
          <w:bCs w:val="0"/>
          <w:szCs w:val="24"/>
        </w:rPr>
        <w:t xml:space="preserve">Access to the material is restored via the </w:t>
      </w:r>
      <w:r w:rsidR="00140973">
        <w:rPr>
          <w:rFonts w:eastAsiaTheme="minorEastAsia" w:cstheme="minorBidi"/>
          <w:b w:val="0"/>
          <w:bCs w:val="0"/>
          <w:szCs w:val="24"/>
        </w:rPr>
        <w:t>Libraries ACT</w:t>
      </w:r>
      <w:r w:rsidRPr="00C70650">
        <w:rPr>
          <w:rFonts w:eastAsiaTheme="minorEastAsia" w:cstheme="minorBidi"/>
          <w:b w:val="0"/>
          <w:bCs w:val="0"/>
          <w:szCs w:val="24"/>
        </w:rPr>
        <w:t xml:space="preserve"> catalogue and website</w:t>
      </w:r>
    </w:p>
    <w:p w:rsidR="00C70650" w:rsidRDefault="00C70650" w:rsidP="00C70650">
      <w:pPr>
        <w:pStyle w:val="PolicyHeading2-Accessible"/>
        <w:numPr>
          <w:ilvl w:val="0"/>
          <w:numId w:val="46"/>
        </w:numPr>
        <w:rPr>
          <w:rFonts w:eastAsiaTheme="minorEastAsia" w:cstheme="minorBidi"/>
          <w:b w:val="0"/>
          <w:bCs w:val="0"/>
          <w:szCs w:val="24"/>
        </w:rPr>
      </w:pPr>
      <w:r w:rsidRPr="00C70650">
        <w:rPr>
          <w:rFonts w:eastAsiaTheme="minorEastAsia" w:cstheme="minorBidi"/>
          <w:b w:val="0"/>
          <w:bCs w:val="0"/>
          <w:szCs w:val="24"/>
        </w:rPr>
        <w:t xml:space="preserve">Access to the material is restored with changes in response to the takedown request via the </w:t>
      </w:r>
      <w:r w:rsidR="00140973">
        <w:rPr>
          <w:rFonts w:eastAsiaTheme="minorEastAsia" w:cstheme="minorBidi"/>
          <w:b w:val="0"/>
          <w:bCs w:val="0"/>
          <w:szCs w:val="24"/>
        </w:rPr>
        <w:t>Libraries ACT</w:t>
      </w:r>
      <w:r w:rsidR="00140973" w:rsidRPr="00C70650">
        <w:rPr>
          <w:rFonts w:eastAsiaTheme="minorEastAsia" w:cstheme="minorBidi"/>
          <w:b w:val="0"/>
          <w:bCs w:val="0"/>
          <w:szCs w:val="24"/>
        </w:rPr>
        <w:t xml:space="preserve"> </w:t>
      </w:r>
      <w:r w:rsidRPr="00C70650">
        <w:rPr>
          <w:rFonts w:eastAsiaTheme="minorEastAsia" w:cstheme="minorBidi"/>
          <w:b w:val="0"/>
          <w:bCs w:val="0"/>
          <w:szCs w:val="24"/>
        </w:rPr>
        <w:t>catalogue and website</w:t>
      </w:r>
    </w:p>
    <w:p w:rsidR="00C70650" w:rsidRDefault="00C70650" w:rsidP="00C70650">
      <w:pPr>
        <w:pStyle w:val="PolicyHeading2-Accessible"/>
        <w:numPr>
          <w:ilvl w:val="0"/>
          <w:numId w:val="46"/>
        </w:numPr>
        <w:rPr>
          <w:rFonts w:eastAsiaTheme="minorEastAsia" w:cstheme="minorBidi"/>
          <w:b w:val="0"/>
          <w:bCs w:val="0"/>
          <w:szCs w:val="24"/>
        </w:rPr>
      </w:pPr>
      <w:r w:rsidRPr="00C70650">
        <w:rPr>
          <w:rFonts w:eastAsiaTheme="minorEastAsia" w:cstheme="minorBidi"/>
          <w:b w:val="0"/>
          <w:bCs w:val="0"/>
          <w:szCs w:val="24"/>
        </w:rPr>
        <w:t xml:space="preserve">Access to the material is modified </w:t>
      </w:r>
    </w:p>
    <w:p w:rsidR="00C70650" w:rsidRPr="00C70650" w:rsidRDefault="00C70650" w:rsidP="00C70650">
      <w:pPr>
        <w:pStyle w:val="PolicyHeading2-Accessible"/>
        <w:numPr>
          <w:ilvl w:val="0"/>
          <w:numId w:val="46"/>
        </w:numPr>
        <w:rPr>
          <w:rFonts w:eastAsiaTheme="minorEastAsia" w:cstheme="minorBidi"/>
          <w:b w:val="0"/>
          <w:bCs w:val="0"/>
          <w:szCs w:val="24"/>
        </w:rPr>
      </w:pPr>
      <w:r w:rsidRPr="00C70650">
        <w:rPr>
          <w:rFonts w:eastAsiaTheme="minorEastAsia" w:cstheme="minorBidi"/>
          <w:b w:val="0"/>
          <w:bCs w:val="0"/>
          <w:szCs w:val="24"/>
        </w:rPr>
        <w:lastRenderedPageBreak/>
        <w:t>Material removed from the collection.</w:t>
      </w:r>
    </w:p>
    <w:p w:rsidR="00377794" w:rsidRDefault="00377794" w:rsidP="00377794">
      <w:pPr>
        <w:pStyle w:val="Policy-BodyText"/>
        <w:numPr>
          <w:ilvl w:val="0"/>
          <w:numId w:val="0"/>
        </w:numPr>
        <w:spacing w:line="240" w:lineRule="auto"/>
      </w:pPr>
    </w:p>
    <w:p w:rsidR="001F2C35" w:rsidRDefault="00C70650" w:rsidP="00B82D9D">
      <w:pPr>
        <w:pStyle w:val="Policy-BodyText"/>
        <w:numPr>
          <w:ilvl w:val="0"/>
          <w:numId w:val="0"/>
        </w:numPr>
        <w:spacing w:line="240" w:lineRule="auto"/>
        <w:ind w:left="567"/>
      </w:pPr>
      <w:r w:rsidRPr="00C70650">
        <w:t>There will be regular reviews of takedown decisions. Where the circumstances of the original takedown request have changed over time, it may result in access to the material being restored.</w:t>
      </w:r>
    </w:p>
    <w:p w:rsidR="001F2C35" w:rsidRDefault="001F2C35" w:rsidP="001F2C35">
      <w:pPr>
        <w:pStyle w:val="PolicyHeading2-Accessible"/>
      </w:pPr>
      <w:r>
        <w:t>Takedown requests assessment</w:t>
      </w:r>
    </w:p>
    <w:p w:rsidR="00377794" w:rsidRDefault="00377794" w:rsidP="001F2C35">
      <w:pPr>
        <w:pStyle w:val="Policy-BodyText"/>
      </w:pPr>
      <w:r>
        <w:t>Takedown request</w:t>
      </w:r>
      <w:r w:rsidR="0049601B">
        <w:t xml:space="preserve">s will be assessed according </w:t>
      </w:r>
      <w:r w:rsidR="004A1106">
        <w:t>to whether</w:t>
      </w:r>
      <w:r>
        <w:t xml:space="preserve"> or not:</w:t>
      </w:r>
    </w:p>
    <w:p w:rsidR="00377794" w:rsidRDefault="00377794" w:rsidP="0049601B">
      <w:pPr>
        <w:pStyle w:val="Policy-BodyText"/>
        <w:numPr>
          <w:ilvl w:val="0"/>
          <w:numId w:val="48"/>
        </w:numPr>
      </w:pPr>
      <w:r>
        <w:t>Online access to the identified material is in breach of copyright law.</w:t>
      </w:r>
    </w:p>
    <w:p w:rsidR="0049601B" w:rsidRDefault="00377794" w:rsidP="0049601B">
      <w:pPr>
        <w:pStyle w:val="Policy-BodyText"/>
        <w:numPr>
          <w:ilvl w:val="0"/>
          <w:numId w:val="48"/>
        </w:numPr>
      </w:pPr>
      <w:r>
        <w:t>The identified material is subject of a suppression order or other legal restriction on availability, or is subject to specific jurisdictional legislation or related exemptions.</w:t>
      </w:r>
    </w:p>
    <w:p w:rsidR="0049601B" w:rsidRDefault="00377794" w:rsidP="0049601B">
      <w:pPr>
        <w:pStyle w:val="Policy-BodyText"/>
        <w:numPr>
          <w:ilvl w:val="0"/>
          <w:numId w:val="48"/>
        </w:numPr>
      </w:pPr>
      <w:r>
        <w:t>Online access to the identified material contravenes c</w:t>
      </w:r>
      <w:r w:rsidR="0049601B">
        <w:t>onditions imposed by a donor.</w:t>
      </w:r>
    </w:p>
    <w:p w:rsidR="0049601B" w:rsidRDefault="00377794" w:rsidP="0049601B">
      <w:pPr>
        <w:pStyle w:val="Policy-BodyText"/>
        <w:numPr>
          <w:ilvl w:val="0"/>
          <w:numId w:val="48"/>
        </w:numPr>
      </w:pPr>
      <w:r>
        <w:t>The identified material is defamatory or object</w:t>
      </w:r>
      <w:r w:rsidR="0049601B">
        <w:t>ionable under Australian law.</w:t>
      </w:r>
    </w:p>
    <w:p w:rsidR="0049601B" w:rsidRDefault="00377794" w:rsidP="0049601B">
      <w:pPr>
        <w:pStyle w:val="Policy-BodyText"/>
        <w:numPr>
          <w:ilvl w:val="0"/>
          <w:numId w:val="48"/>
        </w:numPr>
      </w:pPr>
      <w:r>
        <w:t>There is a need to mitigate harm and legal liability.</w:t>
      </w:r>
    </w:p>
    <w:p w:rsidR="0049601B" w:rsidRDefault="00377794" w:rsidP="0049601B">
      <w:pPr>
        <w:pStyle w:val="Policy-BodyText"/>
        <w:numPr>
          <w:ilvl w:val="0"/>
          <w:numId w:val="48"/>
        </w:numPr>
      </w:pPr>
      <w:r>
        <w:t>The identified material includes personal information about someone who is still alive and continued online access would cause serious invasion of privacy or harm.</w:t>
      </w:r>
    </w:p>
    <w:p w:rsidR="0049601B" w:rsidRDefault="00377794" w:rsidP="0049601B">
      <w:pPr>
        <w:pStyle w:val="Policy-BodyText"/>
        <w:numPr>
          <w:ilvl w:val="0"/>
          <w:numId w:val="48"/>
        </w:numPr>
      </w:pPr>
      <w:r>
        <w:t>Removal of the identified material would</w:t>
      </w:r>
      <w:r w:rsidR="0049601B">
        <w:t xml:space="preserve"> undermine freedom of speech.</w:t>
      </w:r>
    </w:p>
    <w:p w:rsidR="00377794" w:rsidRDefault="00377794" w:rsidP="0049601B">
      <w:pPr>
        <w:pStyle w:val="Policy-BodyText"/>
        <w:numPr>
          <w:ilvl w:val="0"/>
          <w:numId w:val="48"/>
        </w:numPr>
      </w:pPr>
      <w:r>
        <w:t>Online access to the identified material is in breach of the protocols maintaining the Indigenous peoples to determine access provisions for heritage materials which reflect their history, culture, language and perspective.</w:t>
      </w:r>
    </w:p>
    <w:p w:rsidR="004A1106" w:rsidRPr="00C70650" w:rsidRDefault="001F2C35" w:rsidP="001F2C35">
      <w:pPr>
        <w:pStyle w:val="PolicyHeading2-Accessible"/>
      </w:pPr>
      <w:r>
        <w:t>Responsibilities</w:t>
      </w:r>
    </w:p>
    <w:p w:rsidR="0049601B" w:rsidRDefault="00A52B25" w:rsidP="0049601B">
      <w:pPr>
        <w:pStyle w:val="Policy-BodyText"/>
        <w:spacing w:line="240" w:lineRule="auto"/>
        <w:ind w:left="567" w:hanging="567"/>
      </w:pPr>
      <w:r w:rsidRPr="00A52B25">
        <w:t xml:space="preserve">All </w:t>
      </w:r>
      <w:r w:rsidR="0049601B">
        <w:t xml:space="preserve">ACT Heritage Library </w:t>
      </w:r>
      <w:r w:rsidRPr="00A52B25">
        <w:t>staff</w:t>
      </w:r>
      <w:r>
        <w:t xml:space="preserve"> </w:t>
      </w:r>
      <w:proofErr w:type="gramStart"/>
      <w:r>
        <w:t>are</w:t>
      </w:r>
      <w:proofErr w:type="gramEnd"/>
      <w:r>
        <w:t xml:space="preserve"> responsible for ensuring the</w:t>
      </w:r>
      <w:r w:rsidR="00A50D5D">
        <w:t xml:space="preserve">y </w:t>
      </w:r>
      <w:r>
        <w:t xml:space="preserve">understand and follow all policies and procedures relating to the management of </w:t>
      </w:r>
      <w:r w:rsidR="0049601B">
        <w:t>the ACT Heritage Library Collection</w:t>
      </w:r>
      <w:r>
        <w:t xml:space="preserve"> in their day to day work.</w:t>
      </w:r>
    </w:p>
    <w:p w:rsidR="001F2C35" w:rsidRDefault="001F2C35" w:rsidP="0049601B">
      <w:pPr>
        <w:pStyle w:val="Policy-BodyText"/>
        <w:spacing w:line="240" w:lineRule="auto"/>
        <w:ind w:left="567" w:hanging="567"/>
      </w:pPr>
      <w:r>
        <w:t xml:space="preserve">The </w:t>
      </w:r>
      <w:r w:rsidRPr="001F2C35">
        <w:t>Manager ACT Heritage Library</w:t>
      </w:r>
      <w:r>
        <w:t xml:space="preserve"> is responsible for managing takedown requests and assessments in accordance with this policy.</w:t>
      </w:r>
    </w:p>
    <w:p w:rsidR="005C44BD" w:rsidRPr="007B3DA1" w:rsidRDefault="00B91BD6" w:rsidP="0049601B">
      <w:pPr>
        <w:pStyle w:val="Policy-BodyText"/>
        <w:spacing w:line="240" w:lineRule="auto"/>
        <w:ind w:left="567" w:hanging="567"/>
      </w:pPr>
      <w:r w:rsidRPr="00F0140D">
        <w:rPr>
          <w:b/>
        </w:rPr>
        <w:t>Policy Owner</w:t>
      </w:r>
      <w:r w:rsidR="0049601B" w:rsidRPr="00F0140D">
        <w:rPr>
          <w:b/>
        </w:rPr>
        <w:t>:</w:t>
      </w:r>
      <w:r w:rsidR="0049601B">
        <w:t xml:space="preserve"> </w:t>
      </w:r>
      <w:r w:rsidR="0049601B" w:rsidRPr="0049601B">
        <w:t>Director Libraries ACT</w:t>
      </w:r>
    </w:p>
    <w:p w:rsidR="005C44BD" w:rsidRPr="00835401" w:rsidRDefault="005C44BD" w:rsidP="00835401">
      <w:pPr>
        <w:pStyle w:val="PolicyHeading2-Accessible"/>
      </w:pPr>
      <w:r w:rsidRPr="00835401">
        <w:t>Monitoring and review</w:t>
      </w:r>
    </w:p>
    <w:p w:rsidR="005C44BD" w:rsidRPr="007B3DA1" w:rsidRDefault="001527EF" w:rsidP="00A52B25">
      <w:pPr>
        <w:pStyle w:val="Policy-BodyText"/>
        <w:spacing w:line="240" w:lineRule="auto"/>
        <w:ind w:left="567" w:hanging="567"/>
      </w:pPr>
      <w:r>
        <w:t xml:space="preserve">The Policy Owner </w:t>
      </w:r>
      <w:r w:rsidR="005C44BD" w:rsidRPr="007B3DA1">
        <w:t>monitors the policy. This includes an annual</w:t>
      </w:r>
      <w:r w:rsidR="00477967">
        <w:t xml:space="preserve"> scan of operation and review</w:t>
      </w:r>
      <w:r>
        <w:t>. A full review of the policy will be conducted</w:t>
      </w:r>
      <w:r w:rsidR="00477967">
        <w:t xml:space="preserve"> within </w:t>
      </w:r>
      <w:r w:rsidR="004601ED">
        <w:t xml:space="preserve">a </w:t>
      </w:r>
      <w:r w:rsidR="00371EA8" w:rsidRPr="00371EA8">
        <w:t>three</w:t>
      </w:r>
      <w:r w:rsidR="00477967">
        <w:t xml:space="preserve"> year period</w:t>
      </w:r>
      <w:r w:rsidR="005C44BD" w:rsidRPr="007B3DA1">
        <w:t>.</w:t>
      </w:r>
    </w:p>
    <w:p w:rsidR="005C44BD" w:rsidRPr="00835401" w:rsidRDefault="005C44BD" w:rsidP="00835401">
      <w:pPr>
        <w:pStyle w:val="PolicyHeading2-Accessible"/>
      </w:pPr>
      <w:r w:rsidRPr="00835401">
        <w:t>Contact</w:t>
      </w:r>
    </w:p>
    <w:p w:rsidR="00692CF6" w:rsidRDefault="005C44BD" w:rsidP="00A84941">
      <w:pPr>
        <w:pStyle w:val="Policy-BodyText"/>
        <w:spacing w:line="240" w:lineRule="auto"/>
        <w:ind w:left="567" w:hanging="567"/>
      </w:pPr>
      <w:r w:rsidRPr="007B3DA1">
        <w:t>For support contact</w:t>
      </w:r>
      <w:r w:rsidR="00902FD8">
        <w:rPr>
          <w:rStyle w:val="ExplanatoryTextChar"/>
          <w:rFonts w:eastAsiaTheme="minorEastAsia"/>
          <w:b w:val="0"/>
          <w:sz w:val="24"/>
          <w:szCs w:val="24"/>
        </w:rPr>
        <w:t xml:space="preserve"> </w:t>
      </w:r>
      <w:r w:rsidR="00F0140D">
        <w:rPr>
          <w:rStyle w:val="ExplanatoryTextChar"/>
          <w:rFonts w:eastAsiaTheme="minorEastAsia"/>
          <w:b w:val="0"/>
          <w:sz w:val="24"/>
          <w:szCs w:val="24"/>
        </w:rPr>
        <w:t xml:space="preserve">the ACT Heritage Library by email: </w:t>
      </w:r>
      <w:hyperlink r:id="rId11" w:history="1">
        <w:r w:rsidR="00F0140D" w:rsidRPr="005B5BFB">
          <w:rPr>
            <w:rStyle w:val="Hyperlink"/>
            <w:rFonts w:cs="Calibri"/>
          </w:rPr>
          <w:t>act.heritage.libary@act.gov.au</w:t>
        </w:r>
      </w:hyperlink>
      <w:r w:rsidR="00F0140D">
        <w:rPr>
          <w:rStyle w:val="ExplanatoryTextChar"/>
          <w:rFonts w:eastAsiaTheme="minorEastAsia"/>
          <w:b w:val="0"/>
          <w:sz w:val="24"/>
          <w:szCs w:val="24"/>
        </w:rPr>
        <w:t xml:space="preserve"> or phone 02 62075163.</w:t>
      </w:r>
    </w:p>
    <w:p w:rsidR="009729C8" w:rsidRDefault="009729C8" w:rsidP="009729C8">
      <w:pPr>
        <w:pStyle w:val="PolicyHeading2-Accessible"/>
      </w:pPr>
      <w:bookmarkStart w:id="0" w:name="_Toc419889962"/>
      <w:r>
        <w:t>Complaints</w:t>
      </w:r>
      <w:bookmarkEnd w:id="0"/>
    </w:p>
    <w:p w:rsidR="00A52B25" w:rsidRDefault="00A52B25" w:rsidP="00A52B25">
      <w:pPr>
        <w:pStyle w:val="Policy-BodyText"/>
        <w:spacing w:line="240" w:lineRule="auto"/>
        <w:ind w:left="567" w:hanging="567"/>
      </w:pPr>
      <w:r>
        <w:t xml:space="preserve">Any concerns about the application of this </w:t>
      </w:r>
      <w:r w:rsidR="001818A5">
        <w:t xml:space="preserve">policy </w:t>
      </w:r>
      <w:r>
        <w:t xml:space="preserve">or the </w:t>
      </w:r>
      <w:r w:rsidR="001818A5">
        <w:t>policy</w:t>
      </w:r>
      <w:r>
        <w:t xml:space="preserve"> itself, should be raised with:</w:t>
      </w:r>
    </w:p>
    <w:p w:rsidR="00A52B25" w:rsidRDefault="00A52B25" w:rsidP="00A52B25">
      <w:pPr>
        <w:pStyle w:val="Policy-BodyText"/>
        <w:numPr>
          <w:ilvl w:val="0"/>
          <w:numId w:val="23"/>
        </w:numPr>
        <w:spacing w:line="240" w:lineRule="auto"/>
        <w:ind w:left="851" w:hanging="284"/>
      </w:pPr>
      <w:r>
        <w:t xml:space="preserve">the </w:t>
      </w:r>
      <w:r w:rsidR="001818A5">
        <w:t>ACT Heritage Library in the first instance</w:t>
      </w:r>
    </w:p>
    <w:p w:rsidR="00A52B25" w:rsidRDefault="00A52B25" w:rsidP="00A52B25">
      <w:pPr>
        <w:pStyle w:val="Policy-BodyText"/>
        <w:numPr>
          <w:ilvl w:val="0"/>
          <w:numId w:val="23"/>
        </w:numPr>
        <w:spacing w:line="240" w:lineRule="auto"/>
        <w:ind w:left="851" w:hanging="284"/>
      </w:pPr>
      <w:r>
        <w:t xml:space="preserve">online at </w:t>
      </w:r>
      <w:hyperlink r:id="rId12" w:history="1">
        <w:r w:rsidR="00F0140D" w:rsidRPr="005B5BFB">
          <w:rPr>
            <w:rStyle w:val="Hyperlink"/>
          </w:rPr>
          <w:t>http://www.tams.act.gov.au/about-us/complaints</w:t>
        </w:r>
      </w:hyperlink>
      <w:r w:rsidR="00F0140D">
        <w:t xml:space="preserve"> </w:t>
      </w:r>
    </w:p>
    <w:p w:rsidR="004A1106" w:rsidRPr="004A1106" w:rsidRDefault="0049601B" w:rsidP="004A1106">
      <w:pPr>
        <w:pStyle w:val="PolicyHeading2-Accessible"/>
        <w:rPr>
          <w:rFonts w:asciiTheme="majorHAnsi" w:hAnsiTheme="majorHAnsi"/>
        </w:rPr>
      </w:pPr>
      <w:r w:rsidRPr="00BC0D96">
        <w:t>Legislation</w:t>
      </w:r>
    </w:p>
    <w:p w:rsidR="0049601B" w:rsidRPr="00271897" w:rsidRDefault="004A1106" w:rsidP="004A1106">
      <w:pPr>
        <w:pStyle w:val="Policy-BodyText"/>
        <w:rPr>
          <w:rFonts w:asciiTheme="majorHAnsi" w:hAnsiTheme="majorHAnsi"/>
        </w:rPr>
      </w:pPr>
      <w:r>
        <w:t>Related legislation:</w:t>
      </w:r>
      <w:r w:rsidR="0049601B" w:rsidRPr="007B3DA1">
        <w:t xml:space="preserve"> </w:t>
      </w:r>
      <w:r w:rsidR="0049601B">
        <w:t>–</w:t>
      </w:r>
      <w:r w:rsidR="0049601B" w:rsidRPr="008B691C">
        <w:t xml:space="preserve"> </w:t>
      </w:r>
    </w:p>
    <w:p w:rsidR="004A1106" w:rsidRDefault="004A1106" w:rsidP="0049601B">
      <w:pPr>
        <w:pStyle w:val="PolicyHeading2-Accessible"/>
        <w:numPr>
          <w:ilvl w:val="0"/>
          <w:numId w:val="42"/>
        </w:numPr>
        <w:spacing w:before="0"/>
        <w:ind w:left="993" w:hanging="426"/>
        <w:rPr>
          <w:b w:val="0"/>
          <w:i/>
          <w:lang w:eastAsia="en-AU"/>
        </w:rPr>
      </w:pPr>
      <w:r>
        <w:rPr>
          <w:b w:val="0"/>
          <w:i/>
          <w:lang w:eastAsia="en-AU"/>
        </w:rPr>
        <w:t>Copyright Act 1968 (Cth)</w:t>
      </w:r>
    </w:p>
    <w:p w:rsidR="0049601B" w:rsidRPr="000E4223" w:rsidRDefault="0049601B" w:rsidP="0049601B">
      <w:pPr>
        <w:pStyle w:val="PolicyHeading2-Accessible"/>
        <w:numPr>
          <w:ilvl w:val="0"/>
          <w:numId w:val="42"/>
        </w:numPr>
        <w:spacing w:before="0"/>
        <w:ind w:left="993" w:hanging="426"/>
        <w:rPr>
          <w:b w:val="0"/>
          <w:i/>
          <w:lang w:eastAsia="en-AU"/>
        </w:rPr>
      </w:pPr>
      <w:r>
        <w:rPr>
          <w:b w:val="0"/>
          <w:i/>
          <w:lang w:eastAsia="en-AU"/>
        </w:rPr>
        <w:t xml:space="preserve">Information </w:t>
      </w:r>
      <w:r w:rsidRPr="000E4223">
        <w:rPr>
          <w:b w:val="0"/>
          <w:i/>
          <w:lang w:eastAsia="en-AU"/>
        </w:rPr>
        <w:t xml:space="preserve">Privacy Act </w:t>
      </w:r>
      <w:r>
        <w:rPr>
          <w:b w:val="0"/>
          <w:i/>
          <w:lang w:eastAsia="en-AU"/>
        </w:rPr>
        <w:t>2014</w:t>
      </w:r>
      <w:r w:rsidRPr="000E4223">
        <w:rPr>
          <w:b w:val="0"/>
          <w:i/>
          <w:lang w:eastAsia="en-AU"/>
        </w:rPr>
        <w:t xml:space="preserve"> </w:t>
      </w:r>
    </w:p>
    <w:p w:rsidR="0049601B" w:rsidRDefault="0049601B" w:rsidP="0049601B">
      <w:pPr>
        <w:pStyle w:val="PolicyHeading2-Accessible"/>
        <w:numPr>
          <w:ilvl w:val="0"/>
          <w:numId w:val="42"/>
        </w:numPr>
        <w:spacing w:before="0"/>
        <w:ind w:left="993" w:hanging="426"/>
        <w:rPr>
          <w:b w:val="0"/>
          <w:i/>
          <w:lang w:eastAsia="en-AU"/>
        </w:rPr>
      </w:pPr>
      <w:r w:rsidRPr="000E4223">
        <w:rPr>
          <w:b w:val="0"/>
          <w:i/>
          <w:lang w:eastAsia="en-AU"/>
        </w:rPr>
        <w:t xml:space="preserve">Australian Government Information &amp; Communication Health Records (Privacy and Access) Act 1997 </w:t>
      </w:r>
    </w:p>
    <w:p w:rsidR="004A1106" w:rsidRPr="004A1106" w:rsidRDefault="004A1106" w:rsidP="004A1106">
      <w:pPr>
        <w:pStyle w:val="PolicyHeading2-Accessible"/>
        <w:numPr>
          <w:ilvl w:val="0"/>
          <w:numId w:val="42"/>
        </w:numPr>
        <w:spacing w:before="0"/>
        <w:ind w:left="993" w:hanging="426"/>
        <w:rPr>
          <w:b w:val="0"/>
          <w:i/>
          <w:lang w:eastAsia="en-AU"/>
        </w:rPr>
      </w:pPr>
      <w:r w:rsidRPr="000E4223">
        <w:rPr>
          <w:b w:val="0"/>
          <w:i/>
          <w:lang w:eastAsia="en-AU"/>
        </w:rPr>
        <w:t>Territory Records Act 2002</w:t>
      </w:r>
    </w:p>
    <w:sectPr w:rsidR="004A1106" w:rsidRPr="004A1106" w:rsidSect="00277E3D">
      <w:headerReference w:type="even" r:id="rId13"/>
      <w:headerReference w:type="default" r:id="rId14"/>
      <w:footerReference w:type="even" r:id="rId15"/>
      <w:footerReference w:type="default" r:id="rId16"/>
      <w:headerReference w:type="first" r:id="rId17"/>
      <w:footerReference w:type="first" r:id="rId18"/>
      <w:pgSz w:w="11900" w:h="16840"/>
      <w:pgMar w:top="851" w:right="1077" w:bottom="1418" w:left="1077"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40D" w:rsidRDefault="00F0140D" w:rsidP="00477967">
      <w:r>
        <w:separator/>
      </w:r>
    </w:p>
    <w:p w:rsidR="00F0140D" w:rsidRDefault="00F0140D"/>
  </w:endnote>
  <w:endnote w:type="continuationSeparator" w:id="0">
    <w:p w:rsidR="00F0140D" w:rsidRDefault="00F0140D" w:rsidP="00477967">
      <w:r>
        <w:continuationSeparator/>
      </w:r>
    </w:p>
    <w:p w:rsidR="00F0140D" w:rsidRDefault="00F0140D"/>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0D" w:rsidRDefault="00776A88" w:rsidP="003E61B7">
    <w:pPr>
      <w:pStyle w:val="Footer"/>
      <w:framePr w:wrap="around" w:vAnchor="text" w:hAnchor="margin" w:xAlign="right" w:y="1"/>
      <w:rPr>
        <w:rStyle w:val="PageNumber"/>
      </w:rPr>
    </w:pPr>
    <w:r>
      <w:rPr>
        <w:rStyle w:val="PageNumber"/>
      </w:rPr>
      <w:fldChar w:fldCharType="begin"/>
    </w:r>
    <w:r w:rsidR="00F0140D">
      <w:rPr>
        <w:rStyle w:val="PageNumber"/>
      </w:rPr>
      <w:instrText xml:space="preserve">PAGE  </w:instrText>
    </w:r>
    <w:r>
      <w:rPr>
        <w:rStyle w:val="PageNumber"/>
      </w:rPr>
      <w:fldChar w:fldCharType="end"/>
    </w:r>
  </w:p>
  <w:p w:rsidR="00F0140D" w:rsidRDefault="00F0140D" w:rsidP="003E3F17">
    <w:pPr>
      <w:pStyle w:val="Footer"/>
      <w:ind w:right="360"/>
    </w:pPr>
  </w:p>
  <w:p w:rsidR="00F0140D" w:rsidRDefault="00F014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81795"/>
      <w:docPartObj>
        <w:docPartGallery w:val="Page Numbers (Bottom of Page)"/>
        <w:docPartUnique/>
      </w:docPartObj>
    </w:sdtPr>
    <w:sdtEndPr>
      <w:rPr>
        <w:rFonts w:ascii="Calibri" w:hAnsi="Calibri"/>
      </w:rPr>
    </w:sdtEndPr>
    <w:sdtContent>
      <w:sdt>
        <w:sdtPr>
          <w:rPr>
            <w:rFonts w:ascii="Calibri" w:hAnsi="Calibri"/>
          </w:rPr>
          <w:id w:val="565050477"/>
          <w:docPartObj>
            <w:docPartGallery w:val="Page Numbers (Top of Page)"/>
            <w:docPartUnique/>
          </w:docPartObj>
        </w:sdtPr>
        <w:sdtContent>
          <w:p w:rsidR="00B1581D" w:rsidRPr="00B1581D" w:rsidRDefault="00B1581D">
            <w:pPr>
              <w:pStyle w:val="Footer"/>
              <w:jc w:val="center"/>
              <w:rPr>
                <w:rFonts w:ascii="Calibri" w:hAnsi="Calibri"/>
              </w:rPr>
            </w:pPr>
            <w:r w:rsidRPr="00B1581D">
              <w:rPr>
                <w:rFonts w:ascii="Calibri" w:hAnsi="Calibri"/>
              </w:rPr>
              <w:t xml:space="preserve">Page </w:t>
            </w:r>
            <w:r w:rsidR="00776A88" w:rsidRPr="00B1581D">
              <w:rPr>
                <w:rFonts w:ascii="Calibri" w:hAnsi="Calibri"/>
                <w:b/>
              </w:rPr>
              <w:fldChar w:fldCharType="begin"/>
            </w:r>
            <w:r w:rsidRPr="00B1581D">
              <w:rPr>
                <w:rFonts w:ascii="Calibri" w:hAnsi="Calibri"/>
                <w:b/>
              </w:rPr>
              <w:instrText xml:space="preserve"> PAGE </w:instrText>
            </w:r>
            <w:r w:rsidR="00776A88" w:rsidRPr="00B1581D">
              <w:rPr>
                <w:rFonts w:ascii="Calibri" w:hAnsi="Calibri"/>
                <w:b/>
              </w:rPr>
              <w:fldChar w:fldCharType="separate"/>
            </w:r>
            <w:r w:rsidR="00D02D6D">
              <w:rPr>
                <w:rFonts w:ascii="Calibri" w:hAnsi="Calibri"/>
                <w:b/>
                <w:noProof/>
              </w:rPr>
              <w:t>3</w:t>
            </w:r>
            <w:r w:rsidR="00776A88" w:rsidRPr="00B1581D">
              <w:rPr>
                <w:rFonts w:ascii="Calibri" w:hAnsi="Calibri"/>
                <w:b/>
              </w:rPr>
              <w:fldChar w:fldCharType="end"/>
            </w:r>
            <w:r w:rsidRPr="00B1581D">
              <w:rPr>
                <w:rFonts w:ascii="Calibri" w:hAnsi="Calibri"/>
              </w:rPr>
              <w:t xml:space="preserve"> of </w:t>
            </w:r>
            <w:r w:rsidR="00776A88" w:rsidRPr="00B1581D">
              <w:rPr>
                <w:rFonts w:ascii="Calibri" w:hAnsi="Calibri"/>
                <w:b/>
              </w:rPr>
              <w:fldChar w:fldCharType="begin"/>
            </w:r>
            <w:r w:rsidRPr="00B1581D">
              <w:rPr>
                <w:rFonts w:ascii="Calibri" w:hAnsi="Calibri"/>
                <w:b/>
              </w:rPr>
              <w:instrText xml:space="preserve"> NUMPAGES  </w:instrText>
            </w:r>
            <w:r w:rsidR="00776A88" w:rsidRPr="00B1581D">
              <w:rPr>
                <w:rFonts w:ascii="Calibri" w:hAnsi="Calibri"/>
                <w:b/>
              </w:rPr>
              <w:fldChar w:fldCharType="separate"/>
            </w:r>
            <w:r w:rsidR="00D02D6D">
              <w:rPr>
                <w:rFonts w:ascii="Calibri" w:hAnsi="Calibri"/>
                <w:b/>
                <w:noProof/>
              </w:rPr>
              <w:t>3</w:t>
            </w:r>
            <w:r w:rsidR="00776A88" w:rsidRPr="00B1581D">
              <w:rPr>
                <w:rFonts w:ascii="Calibri" w:hAnsi="Calibri"/>
                <w:b/>
              </w:rPr>
              <w:fldChar w:fldCharType="end"/>
            </w:r>
          </w:p>
        </w:sdtContent>
      </w:sdt>
    </w:sdtContent>
  </w:sdt>
  <w:p w:rsidR="00F0140D" w:rsidRPr="002628E5" w:rsidRDefault="00F0140D">
    <w:pPr>
      <w:pStyle w:val="Footer"/>
      <w:jc w:val="right"/>
      <w:rPr>
        <w:rFonts w:asciiTheme="majorHAnsi" w:hAnsiTheme="maj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1D" w:rsidRDefault="00B15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40D" w:rsidRDefault="00F0140D" w:rsidP="00477967">
      <w:r>
        <w:separator/>
      </w:r>
    </w:p>
    <w:p w:rsidR="00F0140D" w:rsidRDefault="00F0140D"/>
  </w:footnote>
  <w:footnote w:type="continuationSeparator" w:id="0">
    <w:p w:rsidR="00F0140D" w:rsidRDefault="00F0140D" w:rsidP="00477967">
      <w:r>
        <w:continuationSeparator/>
      </w:r>
    </w:p>
    <w:p w:rsidR="00F0140D" w:rsidRDefault="00F014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0D" w:rsidRDefault="00776A88">
    <w:pPr>
      <w:pStyle w:val="Header"/>
    </w:pPr>
    <w:r w:rsidRPr="00776A88">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p w:rsidR="00F0140D" w:rsidRDefault="00F014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0D" w:rsidRPr="00225547" w:rsidRDefault="00776A88" w:rsidP="00DD1E8F">
    <w:pPr>
      <w:pStyle w:val="Header"/>
      <w:rPr>
        <w:rFonts w:asciiTheme="majorHAnsi" w:hAnsiTheme="majorHAnsi"/>
      </w:rPr>
    </w:pPr>
    <w:r w:rsidRPr="00776A88">
      <w:rPr>
        <w:rFonts w:asciiTheme="majorHAnsi" w:hAnsiTheme="majorHAnsi"/>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mso-position-horizontal-relative:text;mso-position-vertical-relative:tex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0D" w:rsidRDefault="00776A88">
    <w:pPr>
      <w:pStyle w:val="Header"/>
    </w:pPr>
    <w:r w:rsidRPr="00776A88">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FF22CE"/>
    <w:multiLevelType w:val="multilevel"/>
    <w:tmpl w:val="21BED33A"/>
    <w:lvl w:ilvl="0">
      <w:start w:val="1"/>
      <w:numFmt w:val="bullet"/>
      <w:lvlText w:val="o"/>
      <w:lvlJc w:val="left"/>
      <w:pPr>
        <w:ind w:left="1713" w:hanging="360"/>
      </w:pPr>
      <w:rPr>
        <w:rFonts w:ascii="Courier New" w:hAnsi="Courier New" w:cs="Courier New"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2">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3">
    <w:nsid w:val="210E3C18"/>
    <w:multiLevelType w:val="hybridMultilevel"/>
    <w:tmpl w:val="F12496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D263C68"/>
    <w:multiLevelType w:val="hybridMultilevel"/>
    <w:tmpl w:val="194CE5AC"/>
    <w:lvl w:ilvl="0" w:tplc="0C090001">
      <w:start w:val="1"/>
      <w:numFmt w:val="bullet"/>
      <w:lvlText w:val=""/>
      <w:lvlJc w:val="left"/>
      <w:pPr>
        <w:ind w:left="720" w:hanging="360"/>
      </w:pPr>
      <w:rPr>
        <w:rFonts w:ascii="Symbol" w:hAnsi="Symbol" w:hint="default"/>
      </w:rPr>
    </w:lvl>
    <w:lvl w:ilvl="1" w:tplc="97287AA8">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437CCD"/>
    <w:multiLevelType w:val="hybridMultilevel"/>
    <w:tmpl w:val="3312CAEA"/>
    <w:lvl w:ilvl="0" w:tplc="87309D8A">
      <w:start w:val="1"/>
      <w:numFmt w:val="bullet"/>
      <w:lvlText w:val=""/>
      <w:lvlJc w:val="left"/>
      <w:pPr>
        <w:ind w:left="720" w:hanging="360"/>
      </w:pPr>
      <w:rPr>
        <w:rFonts w:ascii="Symbol" w:hAnsi="Symbol" w:hint="default"/>
      </w:rPr>
    </w:lvl>
    <w:lvl w:ilvl="1" w:tplc="2FE49924" w:tentative="1">
      <w:start w:val="1"/>
      <w:numFmt w:val="bullet"/>
      <w:lvlText w:val="o"/>
      <w:lvlJc w:val="left"/>
      <w:pPr>
        <w:ind w:left="1440" w:hanging="360"/>
      </w:pPr>
      <w:rPr>
        <w:rFonts w:ascii="Courier New" w:hAnsi="Courier New" w:cs="Courier New" w:hint="default"/>
      </w:rPr>
    </w:lvl>
    <w:lvl w:ilvl="2" w:tplc="A014AFE2" w:tentative="1">
      <w:start w:val="1"/>
      <w:numFmt w:val="bullet"/>
      <w:lvlText w:val=""/>
      <w:lvlJc w:val="left"/>
      <w:pPr>
        <w:ind w:left="2160" w:hanging="360"/>
      </w:pPr>
      <w:rPr>
        <w:rFonts w:ascii="Wingdings" w:hAnsi="Wingdings" w:hint="default"/>
      </w:rPr>
    </w:lvl>
    <w:lvl w:ilvl="3" w:tplc="E2521890" w:tentative="1">
      <w:start w:val="1"/>
      <w:numFmt w:val="bullet"/>
      <w:lvlText w:val=""/>
      <w:lvlJc w:val="left"/>
      <w:pPr>
        <w:ind w:left="2880" w:hanging="360"/>
      </w:pPr>
      <w:rPr>
        <w:rFonts w:ascii="Symbol" w:hAnsi="Symbol" w:hint="default"/>
      </w:rPr>
    </w:lvl>
    <w:lvl w:ilvl="4" w:tplc="AB34659C" w:tentative="1">
      <w:start w:val="1"/>
      <w:numFmt w:val="bullet"/>
      <w:lvlText w:val="o"/>
      <w:lvlJc w:val="left"/>
      <w:pPr>
        <w:ind w:left="3600" w:hanging="360"/>
      </w:pPr>
      <w:rPr>
        <w:rFonts w:ascii="Courier New" w:hAnsi="Courier New" w:cs="Courier New" w:hint="default"/>
      </w:rPr>
    </w:lvl>
    <w:lvl w:ilvl="5" w:tplc="77BCDBE4" w:tentative="1">
      <w:start w:val="1"/>
      <w:numFmt w:val="bullet"/>
      <w:lvlText w:val=""/>
      <w:lvlJc w:val="left"/>
      <w:pPr>
        <w:ind w:left="4320" w:hanging="360"/>
      </w:pPr>
      <w:rPr>
        <w:rFonts w:ascii="Wingdings" w:hAnsi="Wingdings" w:hint="default"/>
      </w:rPr>
    </w:lvl>
    <w:lvl w:ilvl="6" w:tplc="42262716" w:tentative="1">
      <w:start w:val="1"/>
      <w:numFmt w:val="bullet"/>
      <w:lvlText w:val=""/>
      <w:lvlJc w:val="left"/>
      <w:pPr>
        <w:ind w:left="5040" w:hanging="360"/>
      </w:pPr>
      <w:rPr>
        <w:rFonts w:ascii="Symbol" w:hAnsi="Symbol" w:hint="default"/>
      </w:rPr>
    </w:lvl>
    <w:lvl w:ilvl="7" w:tplc="BB10066E" w:tentative="1">
      <w:start w:val="1"/>
      <w:numFmt w:val="bullet"/>
      <w:lvlText w:val="o"/>
      <w:lvlJc w:val="left"/>
      <w:pPr>
        <w:ind w:left="5760" w:hanging="360"/>
      </w:pPr>
      <w:rPr>
        <w:rFonts w:ascii="Courier New" w:hAnsi="Courier New" w:cs="Courier New" w:hint="default"/>
      </w:rPr>
    </w:lvl>
    <w:lvl w:ilvl="8" w:tplc="FD2E87E6" w:tentative="1">
      <w:start w:val="1"/>
      <w:numFmt w:val="bullet"/>
      <w:lvlText w:val=""/>
      <w:lvlJc w:val="left"/>
      <w:pPr>
        <w:ind w:left="6480" w:hanging="360"/>
      </w:pPr>
      <w:rPr>
        <w:rFonts w:ascii="Wingdings" w:hAnsi="Wingdings" w:hint="default"/>
      </w:rPr>
    </w:lvl>
  </w:abstractNum>
  <w:abstractNum w:abstractNumId="17">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9">
    <w:nsid w:val="3CCE6794"/>
    <w:multiLevelType w:val="hybridMultilevel"/>
    <w:tmpl w:val="B28E851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nsid w:val="3DC914D3"/>
    <w:multiLevelType w:val="hybridMultilevel"/>
    <w:tmpl w:val="44F83D00"/>
    <w:lvl w:ilvl="0" w:tplc="12F0F906">
      <w:start w:val="1"/>
      <w:numFmt w:val="decimal"/>
      <w:lvlText w:val="%1."/>
      <w:lvlJc w:val="left"/>
      <w:pPr>
        <w:ind w:left="720" w:hanging="360"/>
      </w:pPr>
      <w:rPr>
        <w:rFonts w:hint="default"/>
      </w:rPr>
    </w:lvl>
    <w:lvl w:ilvl="1" w:tplc="E43C6F3E" w:tentative="1">
      <w:start w:val="1"/>
      <w:numFmt w:val="lowerLetter"/>
      <w:lvlText w:val="%2."/>
      <w:lvlJc w:val="left"/>
      <w:pPr>
        <w:ind w:left="1440" w:hanging="360"/>
      </w:pPr>
    </w:lvl>
    <w:lvl w:ilvl="2" w:tplc="1A36D770" w:tentative="1">
      <w:start w:val="1"/>
      <w:numFmt w:val="lowerRoman"/>
      <w:lvlText w:val="%3."/>
      <w:lvlJc w:val="right"/>
      <w:pPr>
        <w:ind w:left="2160" w:hanging="180"/>
      </w:pPr>
    </w:lvl>
    <w:lvl w:ilvl="3" w:tplc="638EAAE4" w:tentative="1">
      <w:start w:val="1"/>
      <w:numFmt w:val="decimal"/>
      <w:lvlText w:val="%4."/>
      <w:lvlJc w:val="left"/>
      <w:pPr>
        <w:ind w:left="2880" w:hanging="360"/>
      </w:pPr>
    </w:lvl>
    <w:lvl w:ilvl="4" w:tplc="9986520C" w:tentative="1">
      <w:start w:val="1"/>
      <w:numFmt w:val="lowerLetter"/>
      <w:lvlText w:val="%5."/>
      <w:lvlJc w:val="left"/>
      <w:pPr>
        <w:ind w:left="3600" w:hanging="360"/>
      </w:pPr>
    </w:lvl>
    <w:lvl w:ilvl="5" w:tplc="F74CC724" w:tentative="1">
      <w:start w:val="1"/>
      <w:numFmt w:val="lowerRoman"/>
      <w:lvlText w:val="%6."/>
      <w:lvlJc w:val="right"/>
      <w:pPr>
        <w:ind w:left="4320" w:hanging="180"/>
      </w:pPr>
    </w:lvl>
    <w:lvl w:ilvl="6" w:tplc="487ADFD6" w:tentative="1">
      <w:start w:val="1"/>
      <w:numFmt w:val="decimal"/>
      <w:lvlText w:val="%7."/>
      <w:lvlJc w:val="left"/>
      <w:pPr>
        <w:ind w:left="5040" w:hanging="360"/>
      </w:pPr>
    </w:lvl>
    <w:lvl w:ilvl="7" w:tplc="B2446304" w:tentative="1">
      <w:start w:val="1"/>
      <w:numFmt w:val="lowerLetter"/>
      <w:lvlText w:val="%8."/>
      <w:lvlJc w:val="left"/>
      <w:pPr>
        <w:ind w:left="5760" w:hanging="360"/>
      </w:pPr>
    </w:lvl>
    <w:lvl w:ilvl="8" w:tplc="295870CC" w:tentative="1">
      <w:start w:val="1"/>
      <w:numFmt w:val="lowerRoman"/>
      <w:lvlText w:val="%9."/>
      <w:lvlJc w:val="right"/>
      <w:pPr>
        <w:ind w:left="6480" w:hanging="180"/>
      </w:pPr>
    </w:lvl>
  </w:abstractNum>
  <w:abstractNum w:abstractNumId="21">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463E7789"/>
    <w:multiLevelType w:val="hybridMultilevel"/>
    <w:tmpl w:val="0EF2DA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72C2C73"/>
    <w:multiLevelType w:val="hybridMultilevel"/>
    <w:tmpl w:val="EC982BA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A224725"/>
    <w:multiLevelType w:val="hybridMultilevel"/>
    <w:tmpl w:val="3828B2CC"/>
    <w:lvl w:ilvl="0" w:tplc="93D49BA4">
      <w:start w:val="1"/>
      <w:numFmt w:val="bullet"/>
      <w:lvlText w:val=""/>
      <w:lvlJc w:val="left"/>
      <w:pPr>
        <w:ind w:left="720" w:hanging="360"/>
      </w:pPr>
      <w:rPr>
        <w:rFonts w:ascii="Symbol" w:hAnsi="Symbol" w:hint="default"/>
      </w:rPr>
    </w:lvl>
    <w:lvl w:ilvl="1" w:tplc="63483EB0" w:tentative="1">
      <w:start w:val="1"/>
      <w:numFmt w:val="bullet"/>
      <w:lvlText w:val="o"/>
      <w:lvlJc w:val="left"/>
      <w:pPr>
        <w:ind w:left="1440" w:hanging="360"/>
      </w:pPr>
      <w:rPr>
        <w:rFonts w:ascii="Courier New" w:hAnsi="Courier New" w:hint="default"/>
      </w:rPr>
    </w:lvl>
    <w:lvl w:ilvl="2" w:tplc="4A32E6C2" w:tentative="1">
      <w:start w:val="1"/>
      <w:numFmt w:val="bullet"/>
      <w:lvlText w:val=""/>
      <w:lvlJc w:val="left"/>
      <w:pPr>
        <w:ind w:left="2160" w:hanging="360"/>
      </w:pPr>
      <w:rPr>
        <w:rFonts w:ascii="Wingdings" w:hAnsi="Wingdings" w:hint="default"/>
      </w:rPr>
    </w:lvl>
    <w:lvl w:ilvl="3" w:tplc="4966588E" w:tentative="1">
      <w:start w:val="1"/>
      <w:numFmt w:val="bullet"/>
      <w:lvlText w:val=""/>
      <w:lvlJc w:val="left"/>
      <w:pPr>
        <w:ind w:left="2880" w:hanging="360"/>
      </w:pPr>
      <w:rPr>
        <w:rFonts w:ascii="Symbol" w:hAnsi="Symbol" w:hint="default"/>
      </w:rPr>
    </w:lvl>
    <w:lvl w:ilvl="4" w:tplc="9358418A" w:tentative="1">
      <w:start w:val="1"/>
      <w:numFmt w:val="bullet"/>
      <w:lvlText w:val="o"/>
      <w:lvlJc w:val="left"/>
      <w:pPr>
        <w:ind w:left="3600" w:hanging="360"/>
      </w:pPr>
      <w:rPr>
        <w:rFonts w:ascii="Courier New" w:hAnsi="Courier New" w:hint="default"/>
      </w:rPr>
    </w:lvl>
    <w:lvl w:ilvl="5" w:tplc="E0525988" w:tentative="1">
      <w:start w:val="1"/>
      <w:numFmt w:val="bullet"/>
      <w:lvlText w:val=""/>
      <w:lvlJc w:val="left"/>
      <w:pPr>
        <w:ind w:left="4320" w:hanging="360"/>
      </w:pPr>
      <w:rPr>
        <w:rFonts w:ascii="Wingdings" w:hAnsi="Wingdings" w:hint="default"/>
      </w:rPr>
    </w:lvl>
    <w:lvl w:ilvl="6" w:tplc="1F544710" w:tentative="1">
      <w:start w:val="1"/>
      <w:numFmt w:val="bullet"/>
      <w:lvlText w:val=""/>
      <w:lvlJc w:val="left"/>
      <w:pPr>
        <w:ind w:left="5040" w:hanging="360"/>
      </w:pPr>
      <w:rPr>
        <w:rFonts w:ascii="Symbol" w:hAnsi="Symbol" w:hint="default"/>
      </w:rPr>
    </w:lvl>
    <w:lvl w:ilvl="7" w:tplc="C8086A54" w:tentative="1">
      <w:start w:val="1"/>
      <w:numFmt w:val="bullet"/>
      <w:lvlText w:val="o"/>
      <w:lvlJc w:val="left"/>
      <w:pPr>
        <w:ind w:left="5760" w:hanging="360"/>
      </w:pPr>
      <w:rPr>
        <w:rFonts w:ascii="Courier New" w:hAnsi="Courier New" w:hint="default"/>
      </w:rPr>
    </w:lvl>
    <w:lvl w:ilvl="8" w:tplc="9BC45360" w:tentative="1">
      <w:start w:val="1"/>
      <w:numFmt w:val="bullet"/>
      <w:lvlText w:val=""/>
      <w:lvlJc w:val="left"/>
      <w:pPr>
        <w:ind w:left="6480" w:hanging="360"/>
      </w:pPr>
      <w:rPr>
        <w:rFonts w:ascii="Wingdings" w:hAnsi="Wingdings" w:hint="default"/>
      </w:rPr>
    </w:lvl>
  </w:abstractNum>
  <w:abstractNum w:abstractNumId="25">
    <w:nsid w:val="4CEE00E8"/>
    <w:multiLevelType w:val="multilevel"/>
    <w:tmpl w:val="8564C9A4"/>
    <w:numStyleLink w:val="PolicyNumbering-Accessible"/>
  </w:abstractNum>
  <w:abstractNum w:abstractNumId="26">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0B74D82"/>
    <w:multiLevelType w:val="hybridMultilevel"/>
    <w:tmpl w:val="4E3499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5F013BE"/>
    <w:multiLevelType w:val="hybridMultilevel"/>
    <w:tmpl w:val="33DCFD88"/>
    <w:lvl w:ilvl="0" w:tplc="B2F29010">
      <w:start w:val="1"/>
      <w:numFmt w:val="bullet"/>
      <w:lvlText w:val=""/>
      <w:lvlJc w:val="left"/>
      <w:pPr>
        <w:ind w:left="720" w:hanging="360"/>
      </w:pPr>
      <w:rPr>
        <w:rFonts w:ascii="Symbol" w:hAnsi="Symbol" w:hint="default"/>
      </w:rPr>
    </w:lvl>
    <w:lvl w:ilvl="1" w:tplc="5568F7A2" w:tentative="1">
      <w:start w:val="1"/>
      <w:numFmt w:val="bullet"/>
      <w:lvlText w:val="o"/>
      <w:lvlJc w:val="left"/>
      <w:pPr>
        <w:ind w:left="1440" w:hanging="360"/>
      </w:pPr>
      <w:rPr>
        <w:rFonts w:ascii="Courier New" w:hAnsi="Courier New" w:hint="default"/>
      </w:rPr>
    </w:lvl>
    <w:lvl w:ilvl="2" w:tplc="B9B61A5E" w:tentative="1">
      <w:start w:val="1"/>
      <w:numFmt w:val="bullet"/>
      <w:lvlText w:val=""/>
      <w:lvlJc w:val="left"/>
      <w:pPr>
        <w:ind w:left="2160" w:hanging="360"/>
      </w:pPr>
      <w:rPr>
        <w:rFonts w:ascii="Wingdings" w:hAnsi="Wingdings" w:hint="default"/>
      </w:rPr>
    </w:lvl>
    <w:lvl w:ilvl="3" w:tplc="FCE8FBEE" w:tentative="1">
      <w:start w:val="1"/>
      <w:numFmt w:val="bullet"/>
      <w:lvlText w:val=""/>
      <w:lvlJc w:val="left"/>
      <w:pPr>
        <w:ind w:left="2880" w:hanging="360"/>
      </w:pPr>
      <w:rPr>
        <w:rFonts w:ascii="Symbol" w:hAnsi="Symbol" w:hint="default"/>
      </w:rPr>
    </w:lvl>
    <w:lvl w:ilvl="4" w:tplc="8B28EDB8" w:tentative="1">
      <w:start w:val="1"/>
      <w:numFmt w:val="bullet"/>
      <w:lvlText w:val="o"/>
      <w:lvlJc w:val="left"/>
      <w:pPr>
        <w:ind w:left="3600" w:hanging="360"/>
      </w:pPr>
      <w:rPr>
        <w:rFonts w:ascii="Courier New" w:hAnsi="Courier New" w:hint="default"/>
      </w:rPr>
    </w:lvl>
    <w:lvl w:ilvl="5" w:tplc="6CD6CDBC" w:tentative="1">
      <w:start w:val="1"/>
      <w:numFmt w:val="bullet"/>
      <w:lvlText w:val=""/>
      <w:lvlJc w:val="left"/>
      <w:pPr>
        <w:ind w:left="4320" w:hanging="360"/>
      </w:pPr>
      <w:rPr>
        <w:rFonts w:ascii="Wingdings" w:hAnsi="Wingdings" w:hint="default"/>
      </w:rPr>
    </w:lvl>
    <w:lvl w:ilvl="6" w:tplc="2E524BA8" w:tentative="1">
      <w:start w:val="1"/>
      <w:numFmt w:val="bullet"/>
      <w:lvlText w:val=""/>
      <w:lvlJc w:val="left"/>
      <w:pPr>
        <w:ind w:left="5040" w:hanging="360"/>
      </w:pPr>
      <w:rPr>
        <w:rFonts w:ascii="Symbol" w:hAnsi="Symbol" w:hint="default"/>
      </w:rPr>
    </w:lvl>
    <w:lvl w:ilvl="7" w:tplc="F17221D4" w:tentative="1">
      <w:start w:val="1"/>
      <w:numFmt w:val="bullet"/>
      <w:lvlText w:val="o"/>
      <w:lvlJc w:val="left"/>
      <w:pPr>
        <w:ind w:left="5760" w:hanging="360"/>
      </w:pPr>
      <w:rPr>
        <w:rFonts w:ascii="Courier New" w:hAnsi="Courier New" w:hint="default"/>
      </w:rPr>
    </w:lvl>
    <w:lvl w:ilvl="8" w:tplc="47749060" w:tentative="1">
      <w:start w:val="1"/>
      <w:numFmt w:val="bullet"/>
      <w:lvlText w:val=""/>
      <w:lvlJc w:val="left"/>
      <w:pPr>
        <w:ind w:left="6480" w:hanging="360"/>
      </w:pPr>
      <w:rPr>
        <w:rFonts w:ascii="Wingdings" w:hAnsi="Wingdings" w:hint="default"/>
      </w:rPr>
    </w:lvl>
  </w:abstractNum>
  <w:abstractNum w:abstractNumId="30">
    <w:nsid w:val="596249BE"/>
    <w:multiLevelType w:val="multilevel"/>
    <w:tmpl w:val="A21C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064E63"/>
    <w:multiLevelType w:val="hybridMultilevel"/>
    <w:tmpl w:val="1B0275E8"/>
    <w:lvl w:ilvl="0" w:tplc="B52A7F16">
      <w:start w:val="1"/>
      <w:numFmt w:val="decimal"/>
      <w:lvlText w:val="%1."/>
      <w:lvlJc w:val="left"/>
      <w:pPr>
        <w:ind w:left="927" w:hanging="360"/>
      </w:pPr>
      <w:rPr>
        <w:rFonts w:ascii="Calibri" w:eastAsiaTheme="minorEastAsia" w:hAnsi="Calibri" w:cstheme="minorBidi"/>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nsid w:val="5A2F127F"/>
    <w:multiLevelType w:val="multilevel"/>
    <w:tmpl w:val="EC982BA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D036641"/>
    <w:multiLevelType w:val="hybridMultilevel"/>
    <w:tmpl w:val="4FFE5A9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7B914ECF"/>
    <w:multiLevelType w:val="hybridMultilevel"/>
    <w:tmpl w:val="748C7EC8"/>
    <w:lvl w:ilvl="0" w:tplc="0C090001">
      <w:start w:val="1"/>
      <w:numFmt w:val="bullet"/>
      <w:lvlText w:val=""/>
      <w:lvlJc w:val="left"/>
      <w:pPr>
        <w:ind w:left="1713" w:hanging="360"/>
      </w:pPr>
      <w:rPr>
        <w:rFonts w:ascii="Symbol" w:hAnsi="Symbol" w:hint="default"/>
      </w:rPr>
    </w:lvl>
    <w:lvl w:ilvl="1" w:tplc="0C090003">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5"/>
  </w:num>
  <w:num w:numId="2">
    <w:abstractNumId w:val="14"/>
  </w:num>
  <w:num w:numId="3">
    <w:abstractNumId w:val="29"/>
  </w:num>
  <w:num w:numId="4">
    <w:abstractNumId w:val="35"/>
  </w:num>
  <w:num w:numId="5">
    <w:abstractNumId w:val="17"/>
  </w:num>
  <w:num w:numId="6">
    <w:abstractNumId w:val="8"/>
  </w:num>
  <w:num w:numId="7">
    <w:abstractNumId w:val="33"/>
  </w:num>
  <w:num w:numId="8">
    <w:abstractNumId w:val="11"/>
  </w:num>
  <w:num w:numId="9">
    <w:abstractNumId w:val="4"/>
  </w:num>
  <w:num w:numId="10">
    <w:abstractNumId w:val="28"/>
  </w:num>
  <w:num w:numId="11">
    <w:abstractNumId w:val="34"/>
  </w:num>
  <w:num w:numId="12">
    <w:abstractNumId w:val="20"/>
  </w:num>
  <w:num w:numId="13">
    <w:abstractNumId w:val="7"/>
  </w:num>
  <w:num w:numId="14">
    <w:abstractNumId w:val="6"/>
  </w:num>
  <w:num w:numId="15">
    <w:abstractNumId w:val="9"/>
  </w:num>
  <w:num w:numId="16">
    <w:abstractNumId w:val="18"/>
  </w:num>
  <w:num w:numId="17">
    <w:abstractNumId w:val="2"/>
  </w:num>
  <w:num w:numId="18">
    <w:abstractNumId w:val="24"/>
  </w:num>
  <w:num w:numId="19">
    <w:abstractNumId w:val="0"/>
  </w:num>
  <w:num w:numId="20">
    <w:abstractNumId w:val="37"/>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12"/>
  </w:num>
  <w:num w:numId="26">
    <w:abstractNumId w:val="26"/>
  </w:num>
  <w:num w:numId="27">
    <w:abstractNumId w:val="10"/>
  </w:num>
  <w:num w:numId="28">
    <w:abstractNumId w:val="13"/>
  </w:num>
  <w:num w:numId="29">
    <w:abstractNumId w:val="21"/>
  </w:num>
  <w:num w:numId="30">
    <w:abstractNumId w:val="12"/>
  </w:num>
  <w:num w:numId="31">
    <w:abstractNumId w:val="12"/>
  </w:num>
  <w:num w:numId="32">
    <w:abstractNumId w:val="15"/>
  </w:num>
  <w:num w:numId="33">
    <w:abstractNumId w:val="38"/>
  </w:num>
  <w:num w:numId="34">
    <w:abstractNumId w:val="1"/>
  </w:num>
  <w:num w:numId="35">
    <w:abstractNumId w:val="12"/>
  </w:num>
  <w:num w:numId="36">
    <w:abstractNumId w:val="12"/>
  </w:num>
  <w:num w:numId="37">
    <w:abstractNumId w:val="12"/>
  </w:num>
  <w:num w:numId="38">
    <w:abstractNumId w:val="12"/>
  </w:num>
  <w:num w:numId="39">
    <w:abstractNumId w:val="12"/>
  </w:num>
  <w:num w:numId="40">
    <w:abstractNumId w:val="23"/>
  </w:num>
  <w:num w:numId="41">
    <w:abstractNumId w:val="32"/>
  </w:num>
  <w:num w:numId="42">
    <w:abstractNumId w:val="22"/>
  </w:num>
  <w:num w:numId="43">
    <w:abstractNumId w:val="30"/>
  </w:num>
  <w:num w:numId="44">
    <w:abstractNumId w:val="27"/>
  </w:num>
  <w:num w:numId="45">
    <w:abstractNumId w:val="31"/>
  </w:num>
  <w:num w:numId="46">
    <w:abstractNumId w:val="36"/>
  </w:num>
  <w:num w:numId="47">
    <w:abstractNumId w:val="12"/>
  </w:num>
  <w:num w:numId="48">
    <w:abstractNumId w:val="19"/>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D91B51"/>
    <w:rsid w:val="00015D27"/>
    <w:rsid w:val="00016260"/>
    <w:rsid w:val="00032B16"/>
    <w:rsid w:val="00036F05"/>
    <w:rsid w:val="0004381A"/>
    <w:rsid w:val="00047E4C"/>
    <w:rsid w:val="00055267"/>
    <w:rsid w:val="00062F00"/>
    <w:rsid w:val="00073624"/>
    <w:rsid w:val="000A143E"/>
    <w:rsid w:val="000A63D0"/>
    <w:rsid w:val="000A7D0E"/>
    <w:rsid w:val="000B3386"/>
    <w:rsid w:val="000B3AA3"/>
    <w:rsid w:val="000B5CBE"/>
    <w:rsid w:val="000E1A2E"/>
    <w:rsid w:val="000E3F86"/>
    <w:rsid w:val="000E4223"/>
    <w:rsid w:val="000F147D"/>
    <w:rsid w:val="0010178C"/>
    <w:rsid w:val="00112859"/>
    <w:rsid w:val="00113746"/>
    <w:rsid w:val="00117A1B"/>
    <w:rsid w:val="00121B20"/>
    <w:rsid w:val="00127442"/>
    <w:rsid w:val="00131156"/>
    <w:rsid w:val="00140973"/>
    <w:rsid w:val="001527EF"/>
    <w:rsid w:val="001629DF"/>
    <w:rsid w:val="00167B4F"/>
    <w:rsid w:val="001718C3"/>
    <w:rsid w:val="001818A5"/>
    <w:rsid w:val="00181A9C"/>
    <w:rsid w:val="001A4902"/>
    <w:rsid w:val="001A55B8"/>
    <w:rsid w:val="001C7C3F"/>
    <w:rsid w:val="001D3ADA"/>
    <w:rsid w:val="001D4D0C"/>
    <w:rsid w:val="001F2C35"/>
    <w:rsid w:val="002021D1"/>
    <w:rsid w:val="002055DF"/>
    <w:rsid w:val="00225547"/>
    <w:rsid w:val="00232B75"/>
    <w:rsid w:val="00245EA7"/>
    <w:rsid w:val="00253769"/>
    <w:rsid w:val="002561A5"/>
    <w:rsid w:val="00262099"/>
    <w:rsid w:val="002628E5"/>
    <w:rsid w:val="00262C02"/>
    <w:rsid w:val="00271897"/>
    <w:rsid w:val="002744A6"/>
    <w:rsid w:val="00277E3D"/>
    <w:rsid w:val="00280014"/>
    <w:rsid w:val="0029158B"/>
    <w:rsid w:val="002958A7"/>
    <w:rsid w:val="002A1BD4"/>
    <w:rsid w:val="002A5A65"/>
    <w:rsid w:val="002C2E91"/>
    <w:rsid w:val="002C3031"/>
    <w:rsid w:val="002D5091"/>
    <w:rsid w:val="002F782F"/>
    <w:rsid w:val="0030157A"/>
    <w:rsid w:val="003016A4"/>
    <w:rsid w:val="00302521"/>
    <w:rsid w:val="00306C86"/>
    <w:rsid w:val="00312DDA"/>
    <w:rsid w:val="00323AF4"/>
    <w:rsid w:val="00326E83"/>
    <w:rsid w:val="00327556"/>
    <w:rsid w:val="003407C0"/>
    <w:rsid w:val="00341431"/>
    <w:rsid w:val="00360BDE"/>
    <w:rsid w:val="00363196"/>
    <w:rsid w:val="00365BE8"/>
    <w:rsid w:val="00367C88"/>
    <w:rsid w:val="00371EA8"/>
    <w:rsid w:val="00377794"/>
    <w:rsid w:val="003B4FED"/>
    <w:rsid w:val="003D0BF3"/>
    <w:rsid w:val="003E3F17"/>
    <w:rsid w:val="003E61B7"/>
    <w:rsid w:val="004122D5"/>
    <w:rsid w:val="00414471"/>
    <w:rsid w:val="004241D7"/>
    <w:rsid w:val="00444828"/>
    <w:rsid w:val="004601ED"/>
    <w:rsid w:val="00474DB0"/>
    <w:rsid w:val="0047556B"/>
    <w:rsid w:val="00477967"/>
    <w:rsid w:val="004832E3"/>
    <w:rsid w:val="0049402A"/>
    <w:rsid w:val="00495ABA"/>
    <w:rsid w:val="0049601B"/>
    <w:rsid w:val="00496DF0"/>
    <w:rsid w:val="004A1106"/>
    <w:rsid w:val="004A344F"/>
    <w:rsid w:val="004A4B58"/>
    <w:rsid w:val="004B6EFF"/>
    <w:rsid w:val="004C5573"/>
    <w:rsid w:val="004C6C52"/>
    <w:rsid w:val="004D16B9"/>
    <w:rsid w:val="004D5FB5"/>
    <w:rsid w:val="0050774B"/>
    <w:rsid w:val="005169F4"/>
    <w:rsid w:val="00517F94"/>
    <w:rsid w:val="00522F63"/>
    <w:rsid w:val="00525425"/>
    <w:rsid w:val="005305C2"/>
    <w:rsid w:val="005376D1"/>
    <w:rsid w:val="00541C29"/>
    <w:rsid w:val="00577FED"/>
    <w:rsid w:val="00592F7C"/>
    <w:rsid w:val="005A55B5"/>
    <w:rsid w:val="005C44BD"/>
    <w:rsid w:val="005C44E4"/>
    <w:rsid w:val="00607900"/>
    <w:rsid w:val="00626271"/>
    <w:rsid w:val="0063541B"/>
    <w:rsid w:val="006552C4"/>
    <w:rsid w:val="00671145"/>
    <w:rsid w:val="00674D78"/>
    <w:rsid w:val="006800E3"/>
    <w:rsid w:val="0068333C"/>
    <w:rsid w:val="006920A0"/>
    <w:rsid w:val="00692CF6"/>
    <w:rsid w:val="00694C1C"/>
    <w:rsid w:val="006950F6"/>
    <w:rsid w:val="00695B83"/>
    <w:rsid w:val="006B451A"/>
    <w:rsid w:val="006C4EC1"/>
    <w:rsid w:val="006D356B"/>
    <w:rsid w:val="006E01E3"/>
    <w:rsid w:val="006F700B"/>
    <w:rsid w:val="007025CB"/>
    <w:rsid w:val="00721DAF"/>
    <w:rsid w:val="00725A75"/>
    <w:rsid w:val="00734442"/>
    <w:rsid w:val="00744274"/>
    <w:rsid w:val="00744827"/>
    <w:rsid w:val="007600E2"/>
    <w:rsid w:val="0076118E"/>
    <w:rsid w:val="00776A88"/>
    <w:rsid w:val="0078592F"/>
    <w:rsid w:val="0079341E"/>
    <w:rsid w:val="007A2043"/>
    <w:rsid w:val="007B3DA1"/>
    <w:rsid w:val="007B5796"/>
    <w:rsid w:val="007C6BE8"/>
    <w:rsid w:val="007D71D2"/>
    <w:rsid w:val="007E4699"/>
    <w:rsid w:val="007E69D6"/>
    <w:rsid w:val="007F1DA1"/>
    <w:rsid w:val="007F5289"/>
    <w:rsid w:val="00821273"/>
    <w:rsid w:val="008312E7"/>
    <w:rsid w:val="00835401"/>
    <w:rsid w:val="00837D66"/>
    <w:rsid w:val="00841941"/>
    <w:rsid w:val="00843051"/>
    <w:rsid w:val="0084683A"/>
    <w:rsid w:val="008627FF"/>
    <w:rsid w:val="00867398"/>
    <w:rsid w:val="008923C4"/>
    <w:rsid w:val="008A6FA4"/>
    <w:rsid w:val="008B34D3"/>
    <w:rsid w:val="008B691C"/>
    <w:rsid w:val="008C6F0D"/>
    <w:rsid w:val="009003EE"/>
    <w:rsid w:val="00902584"/>
    <w:rsid w:val="00902FD8"/>
    <w:rsid w:val="00912CDF"/>
    <w:rsid w:val="00916584"/>
    <w:rsid w:val="009222D1"/>
    <w:rsid w:val="009355D7"/>
    <w:rsid w:val="00935EB0"/>
    <w:rsid w:val="009505CE"/>
    <w:rsid w:val="00956448"/>
    <w:rsid w:val="00964234"/>
    <w:rsid w:val="009729C8"/>
    <w:rsid w:val="009837ED"/>
    <w:rsid w:val="009E4C8D"/>
    <w:rsid w:val="009F5E88"/>
    <w:rsid w:val="00A00B78"/>
    <w:rsid w:val="00A0131D"/>
    <w:rsid w:val="00A1181D"/>
    <w:rsid w:val="00A23F86"/>
    <w:rsid w:val="00A37060"/>
    <w:rsid w:val="00A50D5D"/>
    <w:rsid w:val="00A52B25"/>
    <w:rsid w:val="00A57429"/>
    <w:rsid w:val="00A634E8"/>
    <w:rsid w:val="00A84875"/>
    <w:rsid w:val="00A84941"/>
    <w:rsid w:val="00A956ED"/>
    <w:rsid w:val="00AA367F"/>
    <w:rsid w:val="00AA4633"/>
    <w:rsid w:val="00AA7801"/>
    <w:rsid w:val="00AB15D9"/>
    <w:rsid w:val="00AD6676"/>
    <w:rsid w:val="00B00F28"/>
    <w:rsid w:val="00B1581D"/>
    <w:rsid w:val="00B3089E"/>
    <w:rsid w:val="00B31170"/>
    <w:rsid w:val="00B53C29"/>
    <w:rsid w:val="00B7017C"/>
    <w:rsid w:val="00B81512"/>
    <w:rsid w:val="00B81B4D"/>
    <w:rsid w:val="00B82D9D"/>
    <w:rsid w:val="00B91BD6"/>
    <w:rsid w:val="00B91ED0"/>
    <w:rsid w:val="00BA4D82"/>
    <w:rsid w:val="00BB39B8"/>
    <w:rsid w:val="00BB7564"/>
    <w:rsid w:val="00BC0D96"/>
    <w:rsid w:val="00BC7BF0"/>
    <w:rsid w:val="00BD5351"/>
    <w:rsid w:val="00BD68F4"/>
    <w:rsid w:val="00BD7510"/>
    <w:rsid w:val="00BD796D"/>
    <w:rsid w:val="00BF1478"/>
    <w:rsid w:val="00BF1E93"/>
    <w:rsid w:val="00C260E2"/>
    <w:rsid w:val="00C322E3"/>
    <w:rsid w:val="00C35353"/>
    <w:rsid w:val="00C618E6"/>
    <w:rsid w:val="00C70650"/>
    <w:rsid w:val="00C711D6"/>
    <w:rsid w:val="00C87A10"/>
    <w:rsid w:val="00C96063"/>
    <w:rsid w:val="00CA1F5D"/>
    <w:rsid w:val="00CB2C2E"/>
    <w:rsid w:val="00CC35B7"/>
    <w:rsid w:val="00CE2F22"/>
    <w:rsid w:val="00CE788A"/>
    <w:rsid w:val="00CF0E12"/>
    <w:rsid w:val="00CF2E2F"/>
    <w:rsid w:val="00CF2FCB"/>
    <w:rsid w:val="00CF32F2"/>
    <w:rsid w:val="00CF4379"/>
    <w:rsid w:val="00CF7222"/>
    <w:rsid w:val="00D02D6D"/>
    <w:rsid w:val="00D1251F"/>
    <w:rsid w:val="00D23AB5"/>
    <w:rsid w:val="00D327C7"/>
    <w:rsid w:val="00D46B7A"/>
    <w:rsid w:val="00D50C8D"/>
    <w:rsid w:val="00D91B51"/>
    <w:rsid w:val="00D92DE0"/>
    <w:rsid w:val="00D941BC"/>
    <w:rsid w:val="00D97B3E"/>
    <w:rsid w:val="00DA6613"/>
    <w:rsid w:val="00DB245C"/>
    <w:rsid w:val="00DB48C5"/>
    <w:rsid w:val="00DD1E8F"/>
    <w:rsid w:val="00DE2996"/>
    <w:rsid w:val="00DF628A"/>
    <w:rsid w:val="00DF6DBC"/>
    <w:rsid w:val="00E00C6E"/>
    <w:rsid w:val="00E222AC"/>
    <w:rsid w:val="00E25C2B"/>
    <w:rsid w:val="00E32CFB"/>
    <w:rsid w:val="00E507C9"/>
    <w:rsid w:val="00E72F2B"/>
    <w:rsid w:val="00E76175"/>
    <w:rsid w:val="00E825E1"/>
    <w:rsid w:val="00E86CF4"/>
    <w:rsid w:val="00E97AF6"/>
    <w:rsid w:val="00EA5217"/>
    <w:rsid w:val="00EB0587"/>
    <w:rsid w:val="00EB2878"/>
    <w:rsid w:val="00EB34D1"/>
    <w:rsid w:val="00EC13A6"/>
    <w:rsid w:val="00ED05AB"/>
    <w:rsid w:val="00ED180C"/>
    <w:rsid w:val="00ED61CD"/>
    <w:rsid w:val="00EE4204"/>
    <w:rsid w:val="00EF12DD"/>
    <w:rsid w:val="00F0140D"/>
    <w:rsid w:val="00F128A9"/>
    <w:rsid w:val="00F16220"/>
    <w:rsid w:val="00F22071"/>
    <w:rsid w:val="00F32479"/>
    <w:rsid w:val="00F5482B"/>
    <w:rsid w:val="00F652D5"/>
    <w:rsid w:val="00F737AB"/>
    <w:rsid w:val="00F7382A"/>
    <w:rsid w:val="00FA1FA7"/>
    <w:rsid w:val="00FB246D"/>
    <w:rsid w:val="00FC3D2D"/>
    <w:rsid w:val="00FC4883"/>
    <w:rsid w:val="00FC6D75"/>
    <w:rsid w:val="00FD1C36"/>
    <w:rsid w:val="00FD6E9C"/>
    <w:rsid w:val="00FE1684"/>
    <w:rsid w:val="00FF63C4"/>
    <w:rsid w:val="00FF78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84683A"/>
    <w:pPr>
      <w:spacing w:before="60"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BD68F4"/>
    <w:pPr>
      <w:numPr>
        <w:ilvl w:val="1"/>
        <w:numId w:val="25"/>
      </w:numPr>
      <w:spacing w:line="264" w:lineRule="auto"/>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rPr>
  </w:style>
  <w:style w:type="character" w:styleId="FollowedHyperlink">
    <w:name w:val="FollowedHyperlink"/>
    <w:basedOn w:val="DefaultParagraphFont"/>
    <w:uiPriority w:val="99"/>
    <w:semiHidden/>
    <w:unhideWhenUsed/>
    <w:rsid w:val="001818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3">
    <w:name w:val="heading 3"/>
    <w:basedOn w:val="Normal"/>
    <w:next w:val="Normal"/>
    <w:link w:val="Heading3Char"/>
    <w:uiPriority w:val="9"/>
    <w:unhideWhenUsed/>
    <w:qFormat/>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qFormat/>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qFormat/>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s>
</file>

<file path=word/webSettings.xml><?xml version="1.0" encoding="utf-8"?>
<w:webSettings xmlns:r="http://schemas.openxmlformats.org/officeDocument/2006/relationships" xmlns:w="http://schemas.openxmlformats.org/wordprocessingml/2006/main">
  <w:divs>
    <w:div w:id="905915489">
      <w:bodyDiv w:val="1"/>
      <w:marLeft w:val="0"/>
      <w:marRight w:val="0"/>
      <w:marTop w:val="0"/>
      <w:marBottom w:val="0"/>
      <w:divBdr>
        <w:top w:val="none" w:sz="0" w:space="0" w:color="auto"/>
        <w:left w:val="none" w:sz="0" w:space="0" w:color="auto"/>
        <w:bottom w:val="none" w:sz="0" w:space="0" w:color="auto"/>
        <w:right w:val="none" w:sz="0" w:space="0" w:color="auto"/>
      </w:divBdr>
      <w:divsChild>
        <w:div w:id="2120561439">
          <w:marLeft w:val="0"/>
          <w:marRight w:val="0"/>
          <w:marTop w:val="0"/>
          <w:marBottom w:val="0"/>
          <w:divBdr>
            <w:top w:val="none" w:sz="0" w:space="0" w:color="auto"/>
            <w:left w:val="none" w:sz="0" w:space="0" w:color="auto"/>
            <w:bottom w:val="none" w:sz="0" w:space="0" w:color="auto"/>
            <w:right w:val="none" w:sz="0" w:space="0" w:color="auto"/>
          </w:divBdr>
          <w:divsChild>
            <w:div w:id="536547893">
              <w:marLeft w:val="0"/>
              <w:marRight w:val="0"/>
              <w:marTop w:val="0"/>
              <w:marBottom w:val="0"/>
              <w:divBdr>
                <w:top w:val="none" w:sz="0" w:space="0" w:color="auto"/>
                <w:left w:val="none" w:sz="0" w:space="0" w:color="auto"/>
                <w:bottom w:val="none" w:sz="0" w:space="0" w:color="auto"/>
                <w:right w:val="none" w:sz="0" w:space="0" w:color="auto"/>
              </w:divBdr>
              <w:divsChild>
                <w:div w:id="2088768838">
                  <w:marLeft w:val="0"/>
                  <w:marRight w:val="0"/>
                  <w:marTop w:val="0"/>
                  <w:marBottom w:val="0"/>
                  <w:divBdr>
                    <w:top w:val="none" w:sz="0" w:space="0" w:color="auto"/>
                    <w:left w:val="none" w:sz="0" w:space="0" w:color="auto"/>
                    <w:bottom w:val="none" w:sz="0" w:space="0" w:color="auto"/>
                    <w:right w:val="none" w:sz="0" w:space="0" w:color="auto"/>
                  </w:divBdr>
                  <w:divsChild>
                    <w:div w:id="433523419">
                      <w:marLeft w:val="0"/>
                      <w:marRight w:val="0"/>
                      <w:marTop w:val="0"/>
                      <w:marBottom w:val="0"/>
                      <w:divBdr>
                        <w:top w:val="none" w:sz="0" w:space="0" w:color="auto"/>
                        <w:left w:val="none" w:sz="0" w:space="0" w:color="auto"/>
                        <w:bottom w:val="none" w:sz="0" w:space="0" w:color="auto"/>
                        <w:right w:val="none" w:sz="0" w:space="0" w:color="auto"/>
                      </w:divBdr>
                      <w:divsChild>
                        <w:div w:id="364135826">
                          <w:marLeft w:val="0"/>
                          <w:marRight w:val="0"/>
                          <w:marTop w:val="0"/>
                          <w:marBottom w:val="0"/>
                          <w:divBdr>
                            <w:top w:val="none" w:sz="0" w:space="0" w:color="auto"/>
                            <w:left w:val="none" w:sz="0" w:space="0" w:color="auto"/>
                            <w:bottom w:val="none" w:sz="0" w:space="0" w:color="auto"/>
                            <w:right w:val="none" w:sz="0" w:space="0" w:color="auto"/>
                          </w:divBdr>
                          <w:divsChild>
                            <w:div w:id="1192455196">
                              <w:marLeft w:val="0"/>
                              <w:marRight w:val="0"/>
                              <w:marTop w:val="0"/>
                              <w:marBottom w:val="0"/>
                              <w:divBdr>
                                <w:top w:val="none" w:sz="0" w:space="0" w:color="auto"/>
                                <w:left w:val="none" w:sz="0" w:space="0" w:color="auto"/>
                                <w:bottom w:val="none" w:sz="0" w:space="0" w:color="auto"/>
                                <w:right w:val="none" w:sz="0" w:space="0" w:color="auto"/>
                              </w:divBdr>
                              <w:divsChild>
                                <w:div w:id="1324889964">
                                  <w:marLeft w:val="0"/>
                                  <w:marRight w:val="0"/>
                                  <w:marTop w:val="0"/>
                                  <w:marBottom w:val="0"/>
                                  <w:divBdr>
                                    <w:top w:val="none" w:sz="0" w:space="0" w:color="auto"/>
                                    <w:left w:val="none" w:sz="0" w:space="0" w:color="auto"/>
                                    <w:bottom w:val="none" w:sz="0" w:space="0" w:color="auto"/>
                                    <w:right w:val="none" w:sz="0" w:space="0" w:color="auto"/>
                                  </w:divBdr>
                                  <w:divsChild>
                                    <w:div w:id="1793329815">
                                      <w:marLeft w:val="0"/>
                                      <w:marRight w:val="0"/>
                                      <w:marTop w:val="0"/>
                                      <w:marBottom w:val="0"/>
                                      <w:divBdr>
                                        <w:top w:val="none" w:sz="0" w:space="0" w:color="auto"/>
                                        <w:left w:val="none" w:sz="0" w:space="0" w:color="auto"/>
                                        <w:bottom w:val="none" w:sz="0" w:space="0" w:color="auto"/>
                                        <w:right w:val="none" w:sz="0" w:space="0" w:color="auto"/>
                                      </w:divBdr>
                                      <w:divsChild>
                                        <w:div w:id="617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ams.act.gov.au/about-us/complai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heritage.libary@act.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t.heritage.library@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la.org.au/publication/position-statement-takedow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74831-77CC-4147-8F49-A3B2EAD3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Policy</vt:lpstr>
    </vt:vector>
  </TitlesOfParts>
  <Company>ACT Government</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Takedown Requests</dc:subject>
  <dc:creator>Anita Cairnduff</dc:creator>
  <cp:lastModifiedBy>anita cairnduff</cp:lastModifiedBy>
  <cp:revision>3</cp:revision>
  <cp:lastPrinted>2015-10-20T04:38:00Z</cp:lastPrinted>
  <dcterms:created xsi:type="dcterms:W3CDTF">2016-05-04T04:21:00Z</dcterms:created>
  <dcterms:modified xsi:type="dcterms:W3CDTF">2016-05-04T04:21:00Z</dcterms:modified>
</cp:coreProperties>
</file>